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a9fe981f2f09308b037ecb57048fd75e4917efa"/>
    <w:p>
      <w:pPr>
        <w:pStyle w:val="Heading1"/>
      </w:pPr>
      <w:r>
        <w:t xml:space="preserve">AI for Records &amp; Archives - Framework Workbook</w:t>
      </w:r>
    </w:p>
    <w:p>
      <w:pPr>
        <w:pStyle w:val="FirstParagraph"/>
      </w:pPr>
      <w:r>
        <w:t xml:space="preserve">A single, authoritative working resource (</w:t>
      </w:r>
      <w:r>
        <w:t xml:space="preserve">“</w:t>
      </w:r>
      <w:r>
        <w:t xml:space="preserve">the workbook</w:t>
      </w:r>
      <w:r>
        <w:t xml:space="preserve">”</w:t>
      </w:r>
      <w:r>
        <w:t xml:space="preserve">) for introducing AI/ML into</w:t>
      </w:r>
      <w:r>
        <w:t xml:space="preserve"> </w:t>
      </w:r>
      <w:r>
        <w:t xml:space="preserve">records and archives management at scale. It is vendor- and jurisdiction-agnostic and</w:t>
      </w:r>
      <w:r>
        <w:t xml:space="preserve"> </w:t>
      </w:r>
      <w:r>
        <w:t xml:space="preserve">is written for a mixed international audience of AI specialists and non-specialist</w:t>
      </w:r>
      <w:r>
        <w:t xml:space="preserve"> </w:t>
      </w:r>
      <w:r>
        <w:t xml:space="preserve">records, legal, and executive readers.</w:t>
      </w:r>
    </w:p>
    <w:p>
      <w:pPr>
        <w:pStyle w:val="BodyText"/>
      </w:pPr>
      <w:r>
        <w:t xml:space="preserve">This folder consolidates everything in one place: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it 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workbook.md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workbook/bible - principles, architecture, components, governance, roadmap,</w:t>
            </w:r>
            <w:r>
              <w:t xml:space="preserve"> </w:t>
            </w:r>
            <w:r>
              <w:rPr>
                <w:bCs/>
                <w:b/>
              </w:rPr>
              <w:t xml:space="preserve">fillable tick-sheets</w:t>
            </w:r>
            <w:r>
              <w:t xml:space="preserve">, the compliance control catalog, and links to the supporting articles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Day-to-day working document: read it, then fill in the checklists for your own pilot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Industry-AI-RAM-Framework.docx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same framework as a formatted document (Heading styles, auto Table of Contents, diagram placeholders)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shareable / printable / procurement-annex 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diagrams.md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figure set as renderable Mermaid source (11 figures)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 into docs, slides, or articles; restyle freely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cornerstone-article.md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readable, public-facing flagship article drawn from the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 as the</w:t>
            </w:r>
            <w:r>
              <w:t xml:space="preserve"> </w:t>
            </w:r>
            <w:r>
              <w:t xml:space="preserve">“</w:t>
            </w:r>
            <w:r>
              <w:t xml:space="preserve">hub</w:t>
            </w:r>
            <w:r>
              <w:t xml:space="preserve">”</w:t>
            </w:r>
            <w:r>
              <w:t xml:space="preserve"> </w:t>
            </w:r>
            <w:r>
              <w:t xml:space="preserve">article the other AI articles link 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linkedin-marketing.md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ready-to-post LinkedIn drafts, each pointing to the articles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 manually on a 3-4 day cadence to drive traffic to</w:t>
            </w:r>
            <w:r>
              <w:t xml:space="preserve"> </w:t>
            </w:r>
            <w:r>
              <w:rPr>
                <w:rStyle w:val="VerbatimChar"/>
              </w:rPr>
              <w:t xml:space="preserve">/articles</w:t>
            </w:r>
          </w:p>
        </w:tc>
      </w:tr>
    </w:tbl>
    <w:bookmarkStart w:id="20" w:name="how-the-pieces-relate"/>
    <w:p>
      <w:pPr>
        <w:pStyle w:val="Heading2"/>
      </w:pPr>
      <w:r>
        <w:t xml:space="preserve">How the pieces relate</w:t>
      </w:r>
    </w:p>
    <w:p>
      <w:pPr>
        <w:numPr>
          <w:ilvl w:val="0"/>
          <w:numId w:val="1001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workbook</w:t>
      </w:r>
      <w:r>
        <w:t xml:space="preserve"> </w:t>
      </w:r>
      <w:r>
        <w:t xml:space="preserve">is the spine. Every principle maps to a control, every control maps</w:t>
      </w:r>
      <w:r>
        <w:t xml:space="preserve"> </w:t>
      </w:r>
      <w:r>
        <w:t xml:space="preserve">to a tick-sheet line, and every tick-sheet line maps to a regulatory obligation via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compliance control catalog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diagrams</w:t>
      </w:r>
      <w:r>
        <w:t xml:space="preserve"> </w:t>
      </w:r>
      <w:r>
        <w:t xml:space="preserve">are the shared visual layer for both the workbook and the articles.</w:t>
      </w:r>
    </w:p>
    <w:p>
      <w:pPr>
        <w:numPr>
          <w:ilvl w:val="0"/>
          <w:numId w:val="1001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articles</w:t>
      </w:r>
      <w:r>
        <w:t xml:space="preserve"> </w:t>
      </w:r>
      <w:r>
        <w:t xml:space="preserve">are the narrative spokes; the workbook is the hub they point to.</w:t>
      </w:r>
    </w:p>
    <w:bookmarkEnd w:id="20"/>
    <w:bookmarkStart w:id="21" w:name="working-tick-sheets-in-this-workbook"/>
    <w:p>
      <w:pPr>
        <w:pStyle w:val="Heading2"/>
      </w:pPr>
      <w:r>
        <w:t xml:space="preserve">Working tick-sheets in this workbook</w:t>
      </w:r>
    </w:p>
    <w:p>
      <w:pPr>
        <w:pStyle w:val="FirstParagraph"/>
      </w:pPr>
      <w:r>
        <w:t xml:space="preserve">The workbook turns the framework’s checklists into fillable</w:t>
      </w:r>
      <w:r>
        <w:t xml:space="preserve"> </w:t>
      </w:r>
      <w:r>
        <w:rPr>
          <w:rStyle w:val="VerbatimChar"/>
        </w:rPr>
        <w:t xml:space="preserve">- [ ]</w:t>
      </w:r>
      <w:r>
        <w:t xml:space="preserve"> </w:t>
      </w:r>
      <w:r>
        <w:t xml:space="preserve">lists you copy per</w:t>
      </w:r>
      <w:r>
        <w:t xml:space="preserve"> </w:t>
      </w:r>
      <w:r>
        <w:t xml:space="preserve">pilot: the minimum-viable-deployment checklist, the vendor / procurement checklist, the</w:t>
      </w:r>
      <w:r>
        <w:t xml:space="preserve"> </w:t>
      </w:r>
      <w:r>
        <w:t xml:space="preserve">acceptance tests, the regime-to-control mapping checklist, and the quick compliance</w:t>
      </w:r>
      <w:r>
        <w:t xml:space="preserve"> </w:t>
      </w:r>
      <w:r>
        <w:t xml:space="preserve">checklist. Several supporting articles also carry their own templates and tick-sheets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workbook.md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Supporting reading</w:t>
      </w:r>
      <w:r>
        <w:t xml:space="preserve">”</w:t>
      </w:r>
      <w:r>
        <w:t xml:space="preserve">).</w:t>
      </w:r>
    </w:p>
    <w:bookmarkEnd w:id="21"/>
    <w:bookmarkStart w:id="22" w:name="status"/>
    <w:p>
      <w:pPr>
        <w:pStyle w:val="Heading2"/>
      </w:pPr>
      <w:r>
        <w:t xml:space="preserve">Status</w:t>
      </w:r>
    </w:p>
    <w:p>
      <w:pPr>
        <w:numPr>
          <w:ilvl w:val="0"/>
          <w:numId w:val="1002"/>
        </w:numPr>
        <w:pStyle w:val="Compact"/>
      </w:pPr>
      <w:r>
        <w:t xml:space="preserve">Content is drawn from the framework and the published articles. It contains</w:t>
      </w:r>
      <w:r>
        <w:t xml:space="preserve"> </w:t>
      </w:r>
      <w:r>
        <w:rPr>
          <w:bCs/>
          <w:b/>
        </w:rPr>
        <w:t xml:space="preserve">no</w:t>
      </w:r>
      <w:r>
        <w:rPr>
          <w:bCs/>
          <w:b/>
        </w:rPr>
        <w:t xml:space="preserve"> </w:t>
      </w:r>
      <w:r>
        <w:rPr>
          <w:bCs/>
          <w:b/>
        </w:rPr>
        <w:t xml:space="preserve">invented metrics or organisation names</w:t>
      </w:r>
      <w:r>
        <w:t xml:space="preserve"> </w:t>
      </w:r>
      <w:r>
        <w:t xml:space="preserve">- the pilot numbers and names are placeholders</w:t>
      </w:r>
      <w:r>
        <w:t xml:space="preserve"> </w:t>
      </w:r>
      <w:r>
        <w:t xml:space="preserve">to replace with your own signed pilot outputs.</w:t>
      </w:r>
    </w:p>
    <w:p>
      <w:pPr>
        <w:numPr>
          <w:ilvl w:val="0"/>
          <w:numId w:val="1002"/>
        </w:numPr>
        <w:pStyle w:val="Compact"/>
      </w:pPr>
      <w:r>
        <w:t xml:space="preserve">Jurisdiction-neutral throughout. Country regimes (GDPR, FOI/access-to-information,</w:t>
      </w:r>
      <w:r>
        <w:t xml:space="preserve"> </w:t>
      </w:r>
      <w:r>
        <w:t xml:space="preserve">health-data, etc.) appear only as interchangeable examples, never as the default.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2026-06-21T09:10:20Z</dcterms:created>
  <dcterms:modified xsi:type="dcterms:W3CDTF">2026-06-21T09:10:20Z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