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framework-diagram-set"/>
    <w:p>
      <w:pPr>
        <w:pStyle w:val="Heading1"/>
      </w:pPr>
      <w:r>
        <w:t xml:space="preserve">Framework diagram set</w:t>
      </w:r>
    </w:p>
    <w:p>
      <w:pPr>
        <w:pStyle w:val="FirstParagraph"/>
      </w:pPr>
      <w:r>
        <w:t xml:space="preserve">Eleven figures as renderable Mermaid source. They render natively on GitHub and in most</w:t>
      </w:r>
      <w:r>
        <w:t xml:space="preserve"> </w:t>
      </w:r>
      <w:r>
        <w:t xml:space="preserve">markdown viewers, and can be exported (SVG/PNG) or restyled for slides and articles.</w:t>
      </w:r>
      <w:r>
        <w:t xml:space="preserve"> </w:t>
      </w:r>
      <w:r>
        <w:t xml:space="preserve">Numbers match the placeholders in</w:t>
      </w:r>
      <w:r>
        <w:t xml:space="preserve"> </w:t>
      </w:r>
      <w:r>
        <w:rPr>
          <w:rStyle w:val="VerbatimChar"/>
        </w:rPr>
        <w:t xml:space="preserve">workbook.md</w:t>
      </w:r>
      <w:r>
        <w:t xml:space="preserve"> </w:t>
      </w:r>
      <w:r>
        <w:t xml:space="preserve">and the .docx. Each figure serves both</w:t>
      </w:r>
      <w:r>
        <w:t xml:space="preserve"> </w:t>
      </w:r>
      <w:r>
        <w:t xml:space="preserve">the specialist and the lay reader; captions carry the plain-language reading.</w:t>
      </w:r>
    </w:p>
    <w:p>
      <w:r>
        <w:pict>
          <v:rect style="width:0;height:1.5pt" o:hralign="center" o:hrstd="t" o:hr="t"/>
        </w:pict>
      </w:r>
    </w:p>
    <w:bookmarkStart w:id="20" w:name="figure-1---the-problem-and-the-outcome"/>
    <w:p>
      <w:pPr>
        <w:pStyle w:val="Heading2"/>
      </w:pPr>
      <w:r>
        <w:t xml:space="preserve">Figure 1 - The problem and the outcome</w:t>
      </w:r>
    </w:p>
    <w:p>
      <w:pPr>
        <w:pStyle w:val="FirstParagraph"/>
      </w:pPr>
      <w:r>
        <w:rPr>
          <w:iCs/>
          <w:i/>
        </w:rPr>
        <w:t xml:space="preserve">Conceptual before/after. For: lay readers and executives.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BEFORE["Today: scattered and unaccountable"]</w:t>
      </w:r>
      <w:r>
        <w:br/>
      </w:r>
      <w:r>
        <w:rPr>
          <w:rStyle w:val="VerbatimChar"/>
        </w:rPr>
        <w:t xml:space="preserve">    A1[Shared drives]</w:t>
      </w:r>
      <w:r>
        <w:br/>
      </w:r>
      <w:r>
        <w:rPr>
          <w:rStyle w:val="VerbatimChar"/>
        </w:rPr>
        <w:t xml:space="preserve">    A2[Email stores]</w:t>
      </w:r>
      <w:r>
        <w:br/>
      </w:r>
      <w:r>
        <w:rPr>
          <w:rStyle w:val="VerbatimChar"/>
        </w:rPr>
        <w:t xml:space="preserve">    A3[Scanned boxes]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AFTER["With the framework: governed and searchable"]</w:t>
      </w:r>
      <w:r>
        <w:br/>
      </w:r>
      <w:r>
        <w:rPr>
          <w:rStyle w:val="VerbatimChar"/>
        </w:rPr>
        <w:t xml:space="preserve">    B1[Single described archive]</w:t>
      </w:r>
      <w:r>
        <w:br/>
      </w:r>
      <w:r>
        <w:rPr>
          <w:rStyle w:val="VerbatimChar"/>
        </w:rPr>
        <w:t xml:space="preserve">    B2[Provenance on every item]</w:t>
      </w:r>
      <w:r>
        <w:br/>
      </w:r>
      <w:r>
        <w:rPr>
          <w:rStyle w:val="VerbatimChar"/>
        </w:rPr>
        <w:t xml:space="preserve">    B3[Lawful, auditable access]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BEFORE ==&gt; AFTER</w:t>
      </w:r>
    </w:p>
    <w:p>
      <w:r>
        <w:pict>
          <v:rect style="width:0;height:1.5pt" o:hralign="center" o:hrstd="t" o:hr="t"/>
        </w:pict>
      </w:r>
    </w:p>
    <w:bookmarkEnd w:id="20"/>
    <w:bookmarkStart w:id="21" w:name="X1dee0d09db587f95b57318f62e64c00fa1c10a7"/>
    <w:p>
      <w:pPr>
        <w:pStyle w:val="Heading2"/>
      </w:pPr>
      <w:r>
        <w:t xml:space="preserve">Figure 2 - Layered reference architecture</w:t>
      </w:r>
    </w:p>
    <w:p>
      <w:pPr>
        <w:pStyle w:val="FirstParagraph"/>
      </w:pPr>
      <w:r>
        <w:rPr>
          <w:iCs/>
          <w:i/>
        </w:rPr>
        <w:t xml:space="preserve">Stacked layers. Policy/control flows down; evidence/provenance flows up.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L1["Regulatory &amp; policy - obligations, file-plan, retention authorities"]</w:t>
      </w:r>
      <w:r>
        <w:br/>
      </w:r>
      <w:r>
        <w:rPr>
          <w:rStyle w:val="VerbatimChar"/>
        </w:rPr>
        <w:t xml:space="preserve">  L2["Governance - committee, risk register, model registry, gates"]</w:t>
      </w:r>
      <w:r>
        <w:br/>
      </w:r>
      <w:r>
        <w:rPr>
          <w:rStyle w:val="VerbatimChar"/>
        </w:rPr>
        <w:t xml:space="preserve">  L3["Ingest &amp; provenance - crawlers, snapshot+hash, OCR, provenance capture"]</w:t>
      </w:r>
      <w:r>
        <w:br/>
      </w:r>
      <w:r>
        <w:rPr>
          <w:rStyle w:val="VerbatimChar"/>
        </w:rPr>
        <w:t xml:space="preserve">  L4["Intelligence - NER, classification, sensitivity, embeddings, model serving"]</w:t>
      </w:r>
      <w:r>
        <w:br/>
      </w:r>
      <w:r>
        <w:rPr>
          <w:rStyle w:val="VerbatimChar"/>
        </w:rPr>
        <w:t xml:space="preserve">  L5["Control &amp; lifecycle - ECM/EDRMS, retention enforcement, secure transfer, ACLs"]</w:t>
      </w:r>
      <w:r>
        <w:br/>
      </w:r>
      <w:r>
        <w:rPr>
          <w:rStyle w:val="VerbatimChar"/>
        </w:rPr>
        <w:t xml:space="preserve">  L6["Human UX &amp; review - provenance timeline, diff viewer, review queues, audit export"]</w:t>
      </w:r>
      <w:r>
        <w:br/>
      </w:r>
      <w:r>
        <w:rPr>
          <w:rStyle w:val="VerbatimChar"/>
        </w:rPr>
        <w:t xml:space="preserve">  L1 --&gt; L2 --&gt; L3 --&gt; L4 --&gt; L5 --&gt; L6</w:t>
      </w:r>
      <w:r>
        <w:br/>
      </w:r>
      <w:r>
        <w:rPr>
          <w:rStyle w:val="VerbatimChar"/>
        </w:rPr>
        <w:t xml:space="preserve">  L6 -. "evidence up" .-&gt; L1</w:t>
      </w:r>
    </w:p>
    <w:p>
      <w:r>
        <w:pict>
          <v:rect style="width:0;height:1.5pt" o:hralign="center" o:hrstd="t" o:hr="t"/>
        </w:pict>
      </w:r>
    </w:p>
    <w:bookmarkEnd w:id="21"/>
    <w:bookmarkStart w:id="22" w:name="figure-3---ingest-to-access-pipeline"/>
    <w:p>
      <w:pPr>
        <w:pStyle w:val="Heading2"/>
      </w:pPr>
      <w:r>
        <w:t xml:space="preserve">Figure 3 - Ingest-to-access pipeline</w:t>
      </w:r>
    </w:p>
    <w:p>
      <w:pPr>
        <w:pStyle w:val="FirstParagraph"/>
      </w:pPr>
      <w:r>
        <w:rPr>
          <w:iCs/>
          <w:i/>
        </w:rPr>
        <w:t xml:space="preserve">Left-to-right data flow; a provenance event is emitted at every stage.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S[Source stores] --&gt; C["Crawler / ingest (queue_for_ingest)"]</w:t>
      </w:r>
      <w:r>
        <w:br/>
      </w:r>
      <w:r>
        <w:rPr>
          <w:rStyle w:val="VerbatimChar"/>
        </w:rPr>
        <w:t xml:space="preserve">  C --&gt; H["Snapshot + file hash"]</w:t>
      </w:r>
      <w:r>
        <w:br/>
      </w:r>
      <w:r>
        <w:rPr>
          <w:rStyle w:val="VerbatimChar"/>
        </w:rPr>
        <w:t xml:space="preserve">  H --&gt; O[OCR]</w:t>
      </w:r>
      <w:r>
        <w:br/>
      </w:r>
      <w:r>
        <w:rPr>
          <w:rStyle w:val="VerbatimChar"/>
        </w:rPr>
        <w:t xml:space="preserve">  O --&gt; N["NER / classification"]</w:t>
      </w:r>
      <w:r>
        <w:br/>
      </w:r>
      <w:r>
        <w:rPr>
          <w:rStyle w:val="VerbatimChar"/>
        </w:rPr>
        <w:t xml:space="preserve">  N --&gt; P["Sensitivity / PII detection"]</w:t>
      </w:r>
      <w:r>
        <w:br/>
      </w:r>
      <w:r>
        <w:rPr>
          <w:rStyle w:val="VerbatimChar"/>
        </w:rPr>
        <w:t xml:space="preserve">  P --&gt; R{"Confidence / risk gate"}</w:t>
      </w:r>
      <w:r>
        <w:br/>
      </w:r>
      <w:r>
        <w:rPr>
          <w:rStyle w:val="VerbatimChar"/>
        </w:rPr>
        <w:t xml:space="preserve">  R --&gt;|high| E["ECM / retention"]</w:t>
      </w:r>
      <w:r>
        <w:br/>
      </w:r>
      <w:r>
        <w:rPr>
          <w:rStyle w:val="VerbatimChar"/>
        </w:rPr>
        <w:t xml:space="preserve">  R --&gt;|low or high-risk| Q[Human review]</w:t>
      </w:r>
      <w:r>
        <w:br/>
      </w:r>
      <w:r>
        <w:rPr>
          <w:rStyle w:val="VerbatimChar"/>
        </w:rPr>
        <w:t xml:space="preserve">  Q --&gt; E</w:t>
      </w:r>
      <w:r>
        <w:br/>
      </w:r>
      <w:r>
        <w:rPr>
          <w:rStyle w:val="VerbatimChar"/>
        </w:rPr>
        <w:t xml:space="preserve">  E --&gt; X[Access &amp; export]</w:t>
      </w:r>
      <w:r>
        <w:br/>
      </w:r>
      <w:r>
        <w:rPr>
          <w:rStyle w:val="VerbatimChar"/>
        </w:rPr>
        <w:t xml:space="preserve">  classDef prov fill:#eef,stroke:#88a;</w:t>
      </w:r>
      <w:r>
        <w:br/>
      </w:r>
      <w:r>
        <w:rPr>
          <w:rStyle w:val="VerbatimChar"/>
        </w:rPr>
        <w:t xml:space="preserve">  C:::prov</w:t>
      </w:r>
      <w:r>
        <w:br/>
      </w:r>
      <w:r>
        <w:rPr>
          <w:rStyle w:val="VerbatimChar"/>
        </w:rPr>
        <w:t xml:space="preserve">  O:::prov</w:t>
      </w:r>
      <w:r>
        <w:br/>
      </w:r>
      <w:r>
        <w:rPr>
          <w:rStyle w:val="VerbatimChar"/>
        </w:rPr>
        <w:t xml:space="preserve">  N:::prov</w:t>
      </w:r>
      <w:r>
        <w:br/>
      </w:r>
      <w:r>
        <w:rPr>
          <w:rStyle w:val="VerbatimChar"/>
        </w:rPr>
        <w:t xml:space="preserve">  P:::prov</w:t>
      </w:r>
    </w:p>
    <w:p>
      <w:r>
        <w:pict>
          <v:rect style="width:0;height:1.5pt" o:hralign="center" o:hrstd="t" o:hr="t"/>
        </w:pict>
      </w:r>
    </w:p>
    <w:bookmarkEnd w:id="22"/>
    <w:bookmarkStart w:id="23" w:name="figure-4---provenance-event-model-prov-o"/>
    <w:p>
      <w:pPr>
        <w:pStyle w:val="Heading2"/>
      </w:pPr>
      <w:r>
        <w:t xml:space="preserve">Figure 4 - Provenance event model (PROV-O)</w:t>
      </w:r>
    </w:p>
    <w:p>
      <w:pPr>
        <w:pStyle w:val="FirstParagraph"/>
      </w:pPr>
      <w:r>
        <w:rPr>
          <w:iCs/>
          <w:i/>
        </w:rPr>
        <w:t xml:space="preserve">W3C PROV triad. Plain reading: what produced this, who or what ran it, when, how confident.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SRC(["Entity: source file"]) --&gt;|used by| ACT["Activity: OCR / NER job"]</w:t>
      </w:r>
      <w:r>
        <w:br/>
      </w:r>
      <w:r>
        <w:rPr>
          <w:rStyle w:val="VerbatimChar"/>
        </w:rPr>
        <w:t xml:space="preserve">  ACT --&gt;|associated with| AG{{"Agent: model + human reviewer"}}</w:t>
      </w:r>
      <w:r>
        <w:br/>
      </w:r>
      <w:r>
        <w:rPr>
          <w:rStyle w:val="VerbatimChar"/>
        </w:rPr>
        <w:t xml:space="preserve">  ACT --&gt;|generated| OUT(["Entity: derived assertion + confidence"])</w:t>
      </w:r>
      <w:r>
        <w:br/>
      </w:r>
      <w:r>
        <w:rPr>
          <w:rStyle w:val="VerbatimChar"/>
        </w:rPr>
        <w:t xml:space="preserve">  AG -.-&gt; OUT</w:t>
      </w:r>
    </w:p>
    <w:p>
      <w:r>
        <w:pict>
          <v:rect style="width:0;height:1.5pt" o:hralign="center" o:hrstd="t" o:hr="t"/>
        </w:pict>
      </w:r>
    </w:p>
    <w:bookmarkEnd w:id="23"/>
    <w:bookmarkStart w:id="24" w:name="X2e56e3f927b48edd2a2b6884b1d29a97369555e"/>
    <w:p>
      <w:pPr>
        <w:pStyle w:val="Heading2"/>
      </w:pPr>
      <w:r>
        <w:t xml:space="preserve">Figure 5 - Human-in-the-loop review workflow</w:t>
      </w:r>
    </w:p>
    <w:p>
      <w:pPr>
        <w:pStyle w:val="FirstParagraph"/>
      </w:pPr>
      <w:r>
        <w:rPr>
          <w:iCs/>
          <w:i/>
        </w:rPr>
        <w:t xml:space="preserve">Where a human stays in control of high-risk actions.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AIO[AI output] --&gt; G{Confidence threshold}</w:t>
      </w:r>
      <w:r>
        <w:br/>
      </w:r>
      <w:r>
        <w:rPr>
          <w:rStyle w:val="VerbatimChar"/>
        </w:rPr>
        <w:t xml:space="preserve">  G --&gt;|above| AUTO[Auto-accept]</w:t>
      </w:r>
      <w:r>
        <w:br/>
      </w:r>
      <w:r>
        <w:rPr>
          <w:rStyle w:val="VerbatimChar"/>
        </w:rPr>
        <w:t xml:space="preserve">  G --&gt;|below or high-risk| QUEUE[Review queue]</w:t>
      </w:r>
      <w:r>
        <w:br/>
      </w:r>
      <w:r>
        <w:rPr>
          <w:rStyle w:val="VerbatimChar"/>
        </w:rPr>
        <w:t xml:space="preserve">  QUEUE --&gt; DEC{Reviewer decision}</w:t>
      </w:r>
      <w:r>
        <w:br/>
      </w:r>
      <w:r>
        <w:rPr>
          <w:rStyle w:val="VerbatimChar"/>
        </w:rPr>
        <w:t xml:space="preserve">  DEC --&gt;|accept| LOG[Write decision to provenance]</w:t>
      </w:r>
      <w:r>
        <w:br/>
      </w:r>
      <w:r>
        <w:rPr>
          <w:rStyle w:val="VerbatimChar"/>
        </w:rPr>
        <w:t xml:space="preserve">  DEC --&gt;|correct| LOG</w:t>
      </w:r>
      <w:r>
        <w:br/>
      </w:r>
      <w:r>
        <w:rPr>
          <w:rStyle w:val="VerbatimChar"/>
        </w:rPr>
        <w:t xml:space="preserve">  DEC --&gt;|reject| LOG</w:t>
      </w:r>
      <w:r>
        <w:br/>
      </w:r>
      <w:r>
        <w:rPr>
          <w:rStyle w:val="VerbatimChar"/>
        </w:rPr>
        <w:t xml:space="preserve">  AUTO --&gt; LOG</w:t>
      </w:r>
    </w:p>
    <w:p>
      <w:r>
        <w:pict>
          <v:rect style="width:0;height:1.5pt" o:hralign="center" o:hrstd="t" o:hr="t"/>
        </w:pict>
      </w:r>
    </w:p>
    <w:bookmarkEnd w:id="24"/>
    <w:bookmarkStart w:id="25" w:name="X200e5bf1352c1eefe586aa5b61c58a3765028ba"/>
    <w:p>
      <w:pPr>
        <w:pStyle w:val="Heading2"/>
      </w:pPr>
      <w:r>
        <w:t xml:space="preserve">Figure 6 - Governance roles and decision gates</w:t>
      </w:r>
    </w:p>
    <w:p>
      <w:pPr>
        <w:pStyle w:val="FirstParagraph"/>
      </w:pPr>
      <w:r>
        <w:rPr>
          <w:iCs/>
          <w:i/>
        </w:rPr>
        <w:t xml:space="preserve">Who owns which gate.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COM["AI Governance Committee"]</w:t>
      </w:r>
      <w:r>
        <w:br/>
      </w:r>
      <w:r>
        <w:rPr>
          <w:rStyle w:val="VerbatimChar"/>
        </w:rPr>
        <w:t xml:space="preserve">  MO["Model Owner / Data Steward"]</w:t>
      </w:r>
      <w:r>
        <w:br/>
      </w:r>
      <w:r>
        <w:rPr>
          <w:rStyle w:val="VerbatimChar"/>
        </w:rPr>
        <w:t xml:space="preserve">  REV["Reviewers / Curators"]</w:t>
      </w:r>
      <w:r>
        <w:br/>
      </w:r>
      <w:r>
        <w:rPr>
          <w:rStyle w:val="VerbatimChar"/>
        </w:rPr>
        <w:t xml:space="preserve">  OPS["Platform Ops / SRE"]</w:t>
      </w:r>
      <w:r>
        <w:br/>
      </w:r>
      <w:r>
        <w:rPr>
          <w:rStyle w:val="VerbatimChar"/>
        </w:rPr>
        <w:t xml:space="preserve">  COM --&gt;|approves model to production| GATE1{{Production gate}}</w:t>
      </w:r>
      <w:r>
        <w:br/>
      </w:r>
      <w:r>
        <w:rPr>
          <w:rStyle w:val="VerbatimChar"/>
        </w:rPr>
        <w:t xml:space="preserve">  COM --&gt;|signs off| GATE2{{Phase gate}}</w:t>
      </w:r>
      <w:r>
        <w:br/>
      </w:r>
      <w:r>
        <w:rPr>
          <w:rStyle w:val="VerbatimChar"/>
        </w:rPr>
        <w:t xml:space="preserve">  MO --&gt;|eval sets, drift| COM</w:t>
      </w:r>
      <w:r>
        <w:br/>
      </w:r>
      <w:r>
        <w:rPr>
          <w:rStyle w:val="VerbatimChar"/>
        </w:rPr>
        <w:t xml:space="preserve">  REV --&gt;|resolve queues, approve retention| GATE2</w:t>
      </w:r>
      <w:r>
        <w:br/>
      </w:r>
      <w:r>
        <w:rPr>
          <w:rStyle w:val="VerbatimChar"/>
        </w:rPr>
        <w:t xml:space="preserve">  OPS --&gt;|serving, backups, incidents| GATE1</w:t>
      </w:r>
    </w:p>
    <w:p>
      <w:r>
        <w:pict>
          <v:rect style="width:0;height:1.5pt" o:hralign="center" o:hrstd="t" o:hr="t"/>
        </w:pict>
      </w:r>
    </w:p>
    <w:bookmarkEnd w:id="25"/>
    <w:bookmarkStart w:id="26" w:name="figure-7---phased-implementation-roadmap"/>
    <w:p>
      <w:pPr>
        <w:pStyle w:val="Heading2"/>
      </w:pPr>
      <w:r>
        <w:t xml:space="preserve">Figure 7 - Phased implementation roadmap</w:t>
      </w:r>
    </w:p>
    <w:p>
      <w:pPr>
        <w:pStyle w:val="FirstParagraph"/>
      </w:pPr>
      <w:r>
        <w:rPr>
          <w:iCs/>
          <w:i/>
        </w:rPr>
        <w:t xml:space="preserve">Timeline with deliverables. For: executives.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dateFormat  YYYY-MM</w:t>
      </w:r>
      <w:r>
        <w:br/>
      </w:r>
      <w:r>
        <w:rPr>
          <w:rStyle w:val="VerbatimChar"/>
        </w:rPr>
        <w:t xml:space="preserve">  axisFormat  %b %Y</w:t>
      </w:r>
      <w:r>
        <w:br/>
      </w:r>
      <w:r>
        <w:rPr>
          <w:rStyle w:val="VerbatimChar"/>
        </w:rPr>
        <w:t xml:space="preserve">  title Implementation roadmap (illustrative durations)</w:t>
      </w:r>
      <w:r>
        <w:br/>
      </w:r>
      <w:r>
        <w:rPr>
          <w:rStyle w:val="VerbatimChar"/>
        </w:rPr>
        <w:t xml:space="preserve">  section Phase 0 Preparation</w:t>
      </w:r>
      <w:r>
        <w:br/>
      </w:r>
      <w:r>
        <w:rPr>
          <w:rStyle w:val="VerbatimChar"/>
        </w:rPr>
        <w:t xml:space="preserve">  Governance + KPIs + pilot corpus            :p0, 2026-01, 2M</w:t>
      </w:r>
      <w:r>
        <w:br/>
      </w:r>
      <w:r>
        <w:rPr>
          <w:rStyle w:val="VerbatimChar"/>
        </w:rPr>
        <w:t xml:space="preserve">  section Phase 1 Pilot MVP</w:t>
      </w:r>
      <w:r>
        <w:br/>
      </w:r>
      <w:r>
        <w:rPr>
          <w:rStyle w:val="VerbatimChar"/>
        </w:rPr>
        <w:t xml:space="preserve">  Crawler + OCR + NER + provenance + review    :p1, after p0, 4M</w:t>
      </w:r>
      <w:r>
        <w:br/>
      </w:r>
      <w:r>
        <w:rPr>
          <w:rStyle w:val="VerbatimChar"/>
        </w:rPr>
        <w:t xml:space="preserve">  section Phase 2 Operationalise</w:t>
      </w:r>
      <w:r>
        <w:br/>
      </w:r>
      <w:r>
        <w:rPr>
          <w:rStyle w:val="VerbatimChar"/>
        </w:rPr>
        <w:t xml:space="preserve">  ECM retention + model registry + canary      :p2, after p1, 6M</w:t>
      </w:r>
      <w:r>
        <w:br/>
      </w:r>
      <w:r>
        <w:rPr>
          <w:rStyle w:val="VerbatimChar"/>
        </w:rPr>
        <w:t xml:space="preserve">  section Phase 3 Scale &amp; Sustain</w:t>
      </w:r>
      <w:r>
        <w:br/>
      </w:r>
      <w:r>
        <w:rPr>
          <w:rStyle w:val="VerbatimChar"/>
        </w:rPr>
        <w:t xml:space="preserve">  Full scale + drift detection + ISO 42001     :p3, after p2, 12M</w:t>
      </w:r>
    </w:p>
    <w:p>
      <w:r>
        <w:pict>
          <v:rect style="width:0;height:1.5pt" o:hralign="center" o:hrstd="t" o:hr="t"/>
        </w:pict>
      </w:r>
    </w:p>
    <w:bookmarkEnd w:id="26"/>
    <w:bookmarkStart w:id="27" w:name="Xe73f8e070f3b95a4144540e40c29391a9caef2d"/>
    <w:p>
      <w:pPr>
        <w:pStyle w:val="Heading2"/>
      </w:pPr>
      <w:r>
        <w:t xml:space="preserve">Figure 8 - Sensitivity and PII handling decision flow</w:t>
      </w:r>
    </w:p>
    <w:p>
      <w:pPr>
        <w:pStyle w:val="FirstParagraph"/>
      </w:pPr>
      <w:r>
        <w:rPr>
          <w:iCs/>
          <w:i/>
        </w:rPr>
        <w:t xml:space="preserve">Makes privacy-by-design concrete.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D[Detect PII / special-category] --&gt; POL{Policy decision}</w:t>
      </w:r>
      <w:r>
        <w:br/>
      </w:r>
      <w:r>
        <w:rPr>
          <w:rStyle w:val="VerbatimChar"/>
        </w:rPr>
        <w:t xml:space="preserve">  POL --&gt;|index| IDX[Index normally]</w:t>
      </w:r>
      <w:r>
        <w:br/>
      </w:r>
      <w:r>
        <w:rPr>
          <w:rStyle w:val="VerbatimChar"/>
        </w:rPr>
        <w:t xml:space="preserve">  POL --&gt;|limited| LIM[Limited indexing]</w:t>
      </w:r>
      <w:r>
        <w:br/>
      </w:r>
      <w:r>
        <w:rPr>
          <w:rStyle w:val="VerbatimChar"/>
        </w:rPr>
        <w:t xml:space="preserve">  POL --&gt;|redact| RED[Redact output]</w:t>
      </w:r>
      <w:r>
        <w:br/>
      </w:r>
      <w:r>
        <w:rPr>
          <w:rStyle w:val="VerbatimChar"/>
        </w:rPr>
        <w:t xml:space="preserve">  IDX --&gt; OUT[Output + lawful-basis record]</w:t>
      </w:r>
      <w:r>
        <w:br/>
      </w:r>
      <w:r>
        <w:rPr>
          <w:rStyle w:val="VerbatimChar"/>
        </w:rPr>
        <w:t xml:space="preserve">  LIM --&gt; OUT</w:t>
      </w:r>
      <w:r>
        <w:br/>
      </w:r>
      <w:r>
        <w:rPr>
          <w:rStyle w:val="VerbatimChar"/>
        </w:rPr>
        <w:t xml:space="preserve">  RED --&gt; OUT</w:t>
      </w:r>
    </w:p>
    <w:p>
      <w:r>
        <w:pict>
          <v:rect style="width:0;height:1.5pt" o:hralign="center" o:hrstd="t" o:hr="t"/>
        </w:pict>
      </w:r>
    </w:p>
    <w:bookmarkEnd w:id="27"/>
    <w:bookmarkStart w:id="28" w:name="Xe302b08452d45272acb8e1cc6cd7adb41fa13dd"/>
    <w:p>
      <w:pPr>
        <w:pStyle w:val="Heading2"/>
      </w:pPr>
      <w:r>
        <w:t xml:space="preserve">Figure 9 - Deployment topologies and data residency</w:t>
      </w:r>
    </w:p>
    <w:p>
      <w:pPr>
        <w:pStyle w:val="FirstParagraph"/>
      </w:pPr>
      <w:r>
        <w:rPr>
          <w:iCs/>
          <w:i/>
        </w:rPr>
        <w:t xml:space="preserve">Where the data physically lives and who holds the keys.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ONPREM[On-prem]</w:t>
      </w:r>
      <w:r>
        <w:br/>
      </w:r>
      <w:r>
        <w:rPr>
          <w:rStyle w:val="VerbatimChar"/>
        </w:rPr>
        <w:t xml:space="preserve">    OP[Local object store + KMS]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SINGLE[Cloud single-region]</w:t>
      </w:r>
      <w:r>
        <w:br/>
      </w:r>
      <w:r>
        <w:rPr>
          <w:rStyle w:val="VerbatimChar"/>
        </w:rPr>
        <w:t xml:space="preserve">    CR[Managed services + provider KMS/CMK]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MULTI[Cloud multi-region]</w:t>
      </w:r>
      <w:r>
        <w:br/>
      </w:r>
      <w:r>
        <w:rPr>
          <w:rStyle w:val="VerbatimChar"/>
        </w:rPr>
        <w:t xml:space="preserve">    M1[Region A] -. async encrypted replication .-&gt; M2[Region B]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HYBRID[Hybrid]</w:t>
      </w:r>
      <w:r>
        <w:br/>
      </w:r>
      <w:r>
        <w:rPr>
          <w:rStyle w:val="VerbatimChar"/>
        </w:rPr>
        <w:t xml:space="preserve">    EDGE[Edge ingest] --&gt; CENTRAL[Central analytics]</w:t>
      </w:r>
      <w:r>
        <w:br/>
      </w:r>
      <w:r>
        <w:rPr>
          <w:rStyle w:val="VerbatimChar"/>
        </w:rPr>
        <w:t xml:space="preserve">  end</w:t>
      </w:r>
    </w:p>
    <w:p>
      <w:r>
        <w:pict>
          <v:rect style="width:0;height:1.5pt" o:hralign="center" o:hrstd="t" o:hr="t"/>
        </w:pict>
      </w:r>
    </w:p>
    <w:bookmarkEnd w:id="28"/>
    <w:bookmarkStart w:id="29" w:name="X10ecfbcad644f329206c774833b5c0e6573f8b2"/>
    <w:p>
      <w:pPr>
        <w:pStyle w:val="Heading2"/>
      </w:pPr>
      <w:r>
        <w:t xml:space="preserve">Figure 10 - Regime-to-control mapping matrix</w:t>
      </w:r>
    </w:p>
    <w:p>
      <w:pPr>
        <w:pStyle w:val="FirstParagraph"/>
      </w:pPr>
      <w:r>
        <w:rPr>
          <w:iCs/>
          <w:i/>
        </w:rPr>
        <w:t xml:space="preserve">The legal-mapping annex made visual. Mermaid is weak at matrices, so this figure is a</w:t>
      </w:r>
      <w:r>
        <w:rPr>
          <w:iCs/>
          <w:i/>
        </w:rPr>
        <w:t xml:space="preserve"> </w:t>
      </w:r>
      <w:r>
        <w:rPr>
          <w:iCs/>
          <w:i/>
        </w:rPr>
        <w:t xml:space="preserve">table; a designer can render it as a heatmap.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Obligation  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C-PRV-01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C-PRV-02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C-PRV-03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C-RES-02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C-ACC-05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C-SEC-03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data-protection regulation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Access-to-information statute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Sectoral health-data regime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igure-11---model-governance-lifecycle"/>
    <w:p>
      <w:pPr>
        <w:pStyle w:val="Heading2"/>
      </w:pPr>
      <w:r>
        <w:t xml:space="preserve">Figure 11 - Model governance lifecycle</w:t>
      </w:r>
    </w:p>
    <w:p>
      <w:pPr>
        <w:pStyle w:val="FirstParagraph"/>
      </w:pPr>
      <w:r>
        <w:rPr>
          <w:iCs/>
          <w:i/>
        </w:rPr>
        <w:t xml:space="preserve">How the AI is kept accurate and accountable over time.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C[Curate data] --&gt; T[Train]</w:t>
      </w:r>
      <w:r>
        <w:br/>
      </w:r>
      <w:r>
        <w:rPr>
          <w:rStyle w:val="VerbatimChar"/>
        </w:rPr>
        <w:t xml:space="preserve">  T --&gt; R["Register (version + eval metrics)"]</w:t>
      </w:r>
      <w:r>
        <w:br/>
      </w:r>
      <w:r>
        <w:rPr>
          <w:rStyle w:val="VerbatimChar"/>
        </w:rPr>
        <w:t xml:space="preserve">  R --&gt; CAN[Canary deploy]</w:t>
      </w:r>
      <w:r>
        <w:br/>
      </w:r>
      <w:r>
        <w:rPr>
          <w:rStyle w:val="VerbatimChar"/>
        </w:rPr>
        <w:t xml:space="preserve">  CAN --&gt; MON[Monitor for drift]</w:t>
      </w:r>
      <w:r>
        <w:br/>
      </w:r>
      <w:r>
        <w:rPr>
          <w:rStyle w:val="VerbatimChar"/>
        </w:rPr>
        <w:t xml:space="preserve">  MON --&gt;|drift detected| C</w:t>
      </w:r>
      <w:r>
        <w:br/>
      </w:r>
      <w:r>
        <w:rPr>
          <w:rStyle w:val="VerbatimChar"/>
        </w:rPr>
        <w:t xml:space="preserve">  MON --&gt;|stable| CAN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2026-06-21T09:09:10Z</dcterms:created>
  <dcterms:modified xsi:type="dcterms:W3CDTF">2026-06-21T09:09:10Z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