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linkedin-marketing-pack"/>
    <w:p>
      <w:pPr>
        <w:pStyle w:val="Heading1"/>
      </w:pPr>
      <w:r>
        <w:t xml:space="preserve">LinkedIn marketing pack</w:t>
      </w:r>
    </w:p>
    <w:p>
      <w:pPr>
        <w:pStyle w:val="FirstParagraph"/>
      </w:pPr>
      <w:r>
        <w:t xml:space="preserve">Ready-to-post drafts. Every post points to the articles page:</w:t>
      </w:r>
      <w:r>
        <w:t xml:space="preserve"> </w:t>
      </w:r>
      <w:r>
        <w:rPr>
          <w:bCs/>
          <w:b/>
        </w:rPr>
        <w:t xml:space="preserve">https://heratio.theahg.co.za/articles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Cs/>
          <w:b/>
        </w:rPr>
        <w:t xml:space="preserve">drafts to post manually</w:t>
      </w:r>
      <w:r>
        <w:t xml:space="preserve"> </w:t>
      </w:r>
      <w:r>
        <w:t xml:space="preserve">from the company/personal page - review and adjust</w:t>
      </w:r>
      <w:r>
        <w:t xml:space="preserve"> </w:t>
      </w:r>
      <w:r>
        <w:t xml:space="preserve">voice before publishing. Suggested cadence: lead with Post 1 (launch), then one themed</w:t>
      </w:r>
      <w:r>
        <w:t xml:space="preserve"> </w:t>
      </w:r>
      <w:r>
        <w:t xml:space="preserve">post every 3-4 days. Reusable hashtag bank at the bottom.</w:t>
      </w:r>
    </w:p>
    <w:p>
      <w:r>
        <w:pict>
          <v:rect style="width:0;height:1.5pt" o:hralign="center" o:hrstd="t" o:hr="t"/>
        </w:pict>
      </w:r>
    </w:p>
    <w:bookmarkStart w:id="20" w:name="post-1---launch-framework-workbook"/>
    <w:p>
      <w:pPr>
        <w:pStyle w:val="Heading2"/>
      </w:pPr>
      <w:r>
        <w:t xml:space="preserve">Post 1 - Launch (framework + workbook)</w:t>
      </w:r>
    </w:p>
    <w:p>
      <w:pPr>
        <w:pStyle w:val="FirstParagraph"/>
      </w:pPr>
      <w:r>
        <w:t xml:space="preserve">Most organisations are sitting on decades of records they cannot find: shared drives,</w:t>
      </w:r>
      <w:r>
        <w:t xml:space="preserve"> </w:t>
      </w:r>
      <w:r>
        <w:t xml:space="preserve">email, scanned boxes. The blocker for using AI on them was never the model. It was doing</w:t>
      </w:r>
      <w:r>
        <w:t xml:space="preserve"> </w:t>
      </w:r>
      <w:r>
        <w:t xml:space="preserve">it without losing control of governance, privacy, and the evidence trail.</w:t>
      </w:r>
    </w:p>
    <w:p>
      <w:pPr>
        <w:pStyle w:val="BodyText"/>
      </w:pPr>
      <w:r>
        <w:t xml:space="preserve">So we published the framework we wished existed.</w:t>
      </w:r>
    </w:p>
    <w:p>
      <w:pPr>
        <w:pStyle w:val="BodyText"/>
      </w:pPr>
      <w:r>
        <w:t xml:space="preserve">Vendor-neutral. Jurisdiction-neutral. Built for AI specialists and the records, legal, and</w:t>
      </w:r>
      <w:r>
        <w:t xml:space="preserve"> </w:t>
      </w:r>
      <w:r>
        <w:t xml:space="preserve">executive readers who have to sign it off. It comes with working tick-sheets: a minimum</w:t>
      </w:r>
      <w:r>
        <w:t xml:space="preserve"> </w:t>
      </w:r>
      <w:r>
        <w:t xml:space="preserve">viable deployment checklist, a vendor and acceptance-test pack, and a compliance control</w:t>
      </w:r>
      <w:r>
        <w:t xml:space="preserve"> </w:t>
      </w:r>
      <w:r>
        <w:t xml:space="preserve">catalog that maps regulation to concrete controls.</w:t>
      </w:r>
    </w:p>
    <w:p>
      <w:pPr>
        <w:pStyle w:val="BodyText"/>
      </w:pPr>
      <w:r>
        <w:t xml:space="preserve">Read the series and download the workbook:</w:t>
      </w:r>
      <w:r>
        <w:t xml:space="preserve"> </w:t>
      </w:r>
      <w:r>
        <w:t xml:space="preserve">https://heratio.theahg.co.za/articles</w:t>
      </w:r>
    </w:p>
    <w:p>
      <w:pPr>
        <w:pStyle w:val="BodyText"/>
      </w:pPr>
      <w:r>
        <w:t xml:space="preserve">#RecordsManagement #ArchivesAI #InformationGovernance #GLAM</w:t>
      </w:r>
    </w:p>
    <w:p>
      <w:r>
        <w:pict>
          <v:rect style="width:0;height:1.5pt" o:hralign="center" o:hrstd="t" o:hr="t"/>
        </w:pict>
      </w:r>
    </w:p>
    <w:bookmarkEnd w:id="20"/>
    <w:bookmarkStart w:id="21" w:name="post-2---the-records-management-crisis"/>
    <w:p>
      <w:pPr>
        <w:pStyle w:val="Heading2"/>
      </w:pPr>
      <w:r>
        <w:t xml:space="preserve">Post 2 - The records-management crisis</w:t>
      </w:r>
    </w:p>
    <w:p>
      <w:pPr>
        <w:pStyle w:val="FirstParagraph"/>
      </w:pPr>
      <w:r>
        <w:t xml:space="preserve">Your expensive records management system is probably half empty.</w:t>
      </w:r>
    </w:p>
    <w:p>
      <w:pPr>
        <w:pStyle w:val="BodyText"/>
      </w:pPr>
      <w:r>
        <w:t xml:space="preserve">Not because the software is bad. Because the content still lives on shared drives, and</w:t>
      </w:r>
      <w:r>
        <w:t xml:space="preserve"> </w:t>
      </w:r>
      <w:r>
        <w:t xml:space="preserve">nobody has time to file it by hand.</w:t>
      </w:r>
    </w:p>
    <w:p>
      <w:pPr>
        <w:pStyle w:val="BodyText"/>
      </w:pPr>
      <w:r>
        <w:t xml:space="preserve">We wrote about how records management lost its way, and what AI-assisted ingestion</w:t>
      </w:r>
      <w:r>
        <w:t xml:space="preserve"> </w:t>
      </w:r>
      <w:r>
        <w:t xml:space="preserve">actually fixes (and what it does not).</w:t>
      </w:r>
    </w:p>
    <w:p>
      <w:pPr>
        <w:pStyle w:val="BodyText"/>
      </w:pPr>
      <w:r>
        <w:t xml:space="preserve">https://heratio.theahg.co.za/articles</w:t>
      </w:r>
    </w:p>
    <w:p>
      <w:pPr>
        <w:pStyle w:val="BodyText"/>
      </w:pPr>
      <w:r>
        <w:t xml:space="preserve">#RecordsManagement #EDRMS #DigitalTransformation</w:t>
      </w:r>
    </w:p>
    <w:p>
      <w:r>
        <w:pict>
          <v:rect style="width:0;height:1.5pt" o:hralign="center" o:hrstd="t" o:hr="t"/>
        </w:pict>
      </w:r>
    </w:p>
    <w:bookmarkEnd w:id="21"/>
    <w:bookmarkStart w:id="22" w:name="post-3---provenance-and-trust"/>
    <w:p>
      <w:pPr>
        <w:pStyle w:val="Heading2"/>
      </w:pPr>
      <w:r>
        <w:t xml:space="preserve">Post 3 - Provenance and trust</w:t>
      </w:r>
    </w:p>
    <w:p>
      <w:pPr>
        <w:pStyle w:val="FirstParagraph"/>
      </w:pPr>
      <w:r>
        <w:t xml:space="preserve">“</w:t>
      </w:r>
      <w:r>
        <w:t xml:space="preserve">Can I trust what the AI told me about this record?</w:t>
      </w:r>
      <w:r>
        <w:t xml:space="preserve">”</w:t>
      </w:r>
    </w:p>
    <w:p>
      <w:pPr>
        <w:pStyle w:val="BodyText"/>
      </w:pPr>
      <w:r>
        <w:t xml:space="preserve">That is the only question that matters in archival AI. The answer is provenance: what was</w:t>
      </w:r>
      <w:r>
        <w:t xml:space="preserve"> </w:t>
      </w:r>
      <w:r>
        <w:t xml:space="preserve">produced, who or what ran it, when, which model, and how confident.</w:t>
      </w:r>
    </w:p>
    <w:p>
      <w:pPr>
        <w:pStyle w:val="BodyText"/>
      </w:pPr>
      <w:r>
        <w:t xml:space="preserve">If you cannot trace it, you cannot trust it. Here is what proper authority resolution and</w:t>
      </w:r>
      <w:r>
        <w:t xml:space="preserve"> </w:t>
      </w:r>
      <w:r>
        <w:t xml:space="preserve">provenance look like in practice.</w:t>
      </w:r>
    </w:p>
    <w:p>
      <w:pPr>
        <w:pStyle w:val="BodyText"/>
      </w:pPr>
      <w:r>
        <w:t xml:space="preserve">https://heratio.theahg.co.za/articles</w:t>
      </w:r>
    </w:p>
    <w:p>
      <w:pPr>
        <w:pStyle w:val="BodyText"/>
      </w:pPr>
      <w:r>
        <w:t xml:space="preserve">#AIGovernance #Provenance #TrustworthyAI #Archives</w:t>
      </w:r>
    </w:p>
    <w:p>
      <w:r>
        <w:pict>
          <v:rect style="width:0;height:1.5pt" o:hralign="center" o:hrstd="t" o:hr="t"/>
        </w:pict>
      </w:r>
    </w:p>
    <w:bookmarkEnd w:id="22"/>
    <w:bookmarkStart w:id="23" w:name="Xd0e452604483f3bf0d63a053ad1e02e98136b1d"/>
    <w:p>
      <w:pPr>
        <w:pStyle w:val="Heading2"/>
      </w:pPr>
      <w:r>
        <w:t xml:space="preserve">Post 4 - Compliance (access-to-information + AI regulation)</w:t>
      </w:r>
    </w:p>
    <w:p>
      <w:pPr>
        <w:pStyle w:val="FirstParagraph"/>
      </w:pPr>
      <w:r>
        <w:t xml:space="preserve">AI in a gallery, library, archive, or museum is not exempt from the law.</w:t>
      </w:r>
    </w:p>
    <w:p>
      <w:pPr>
        <w:pStyle w:val="BodyText"/>
      </w:pPr>
      <w:r>
        <w:t xml:space="preserve">Access-to-information deadlines, data-protection obligations, and new AI regulation all</w:t>
      </w:r>
      <w:r>
        <w:t xml:space="preserve"> </w:t>
      </w:r>
      <w:r>
        <w:t xml:space="preserve">land on the same records. The good news: the controls are the same even when the regimes</w:t>
      </w:r>
      <w:r>
        <w:t xml:space="preserve"> </w:t>
      </w:r>
      <w:r>
        <w:t xml:space="preserve">differ. Map the obligation once, configure the control once.</w:t>
      </w:r>
    </w:p>
    <w:p>
      <w:pPr>
        <w:pStyle w:val="BodyText"/>
      </w:pPr>
      <w:r>
        <w:t xml:space="preserve">We break down what the rules mean for the heritage sector.</w:t>
      </w:r>
    </w:p>
    <w:p>
      <w:pPr>
        <w:pStyle w:val="BodyText"/>
      </w:pPr>
      <w:r>
        <w:t xml:space="preserve">https://heratio.theahg.co.za/articles</w:t>
      </w:r>
    </w:p>
    <w:p>
      <w:pPr>
        <w:pStyle w:val="BodyText"/>
      </w:pPr>
      <w:r>
        <w:t xml:space="preserve">#AICompliance #DataProtection #FOI #InformationGovernance</w:t>
      </w:r>
    </w:p>
    <w:p>
      <w:r>
        <w:pict>
          <v:rect style="width:0;height:1.5pt" o:hralign="center" o:hrstd="t" o:hr="t"/>
        </w:pict>
      </w:r>
    </w:p>
    <w:bookmarkEnd w:id="23"/>
    <w:bookmarkStart w:id="24" w:name="post-5---the-digital-twin-product"/>
    <w:p>
      <w:pPr>
        <w:pStyle w:val="Heading2"/>
      </w:pPr>
      <w:r>
        <w:t xml:space="preserve">Post 5 - The digital twin (product)</w:t>
      </w:r>
    </w:p>
    <w:p>
      <w:pPr>
        <w:pStyle w:val="FirstParagraph"/>
      </w:pPr>
      <w:r>
        <w:t xml:space="preserve">What if you could walk through your collection, not just search it?</w:t>
      </w:r>
    </w:p>
    <w:p>
      <w:pPr>
        <w:pStyle w:val="BodyText"/>
      </w:pPr>
      <w:r>
        <w:t xml:space="preserve">Digital twins are not a gimmick for heritage. They are a new access layer: a way to place</w:t>
      </w:r>
      <w:r>
        <w:t xml:space="preserve"> </w:t>
      </w:r>
      <w:r>
        <w:t xml:space="preserve">an object back in its context, and even to reconstruct what no longer exists.</w:t>
      </w:r>
    </w:p>
    <w:p>
      <w:pPr>
        <w:pStyle w:val="BodyText"/>
      </w:pPr>
      <w:r>
        <w:t xml:space="preserve">Why it matters for GLAM and heritage:</w:t>
      </w:r>
      <w:r>
        <w:t xml:space="preserve"> </w:t>
      </w:r>
      <w:r>
        <w:t xml:space="preserve">https://heratio.theahg.co.za/articles</w:t>
      </w:r>
    </w:p>
    <w:p>
      <w:pPr>
        <w:pStyle w:val="BodyText"/>
      </w:pPr>
      <w:r>
        <w:t xml:space="preserve">#DigitalTwin #DigitalHeritage #Museums #GLAM</w:t>
      </w:r>
    </w:p>
    <w:p>
      <w:r>
        <w:pict>
          <v:rect style="width:0;height:1.5pt" o:hralign="center" o:hrstd="t" o:hr="t"/>
        </w:pict>
      </w:r>
    </w:p>
    <w:bookmarkEnd w:id="24"/>
    <w:bookmarkStart w:id="25" w:name="Xae8a47f66d6758fc47c23f66375b30369dc67bc"/>
    <w:p>
      <w:pPr>
        <w:pStyle w:val="Heading2"/>
      </w:pPr>
      <w:r>
        <w:t xml:space="preserve">Post 6 - The future / a culture you can talk to</w:t>
      </w:r>
    </w:p>
    <w:p>
      <w:pPr>
        <w:pStyle w:val="FirstParagraph"/>
      </w:pPr>
      <w:r>
        <w:t xml:space="preserve">The archive of the future is not a building. It is not even a database.</w:t>
      </w:r>
    </w:p>
    <w:p>
      <w:pPr>
        <w:pStyle w:val="BodyText"/>
      </w:pPr>
      <w:r>
        <w:t xml:space="preserve">It is a body of culture you can ask questions of, in your own language, and get answers</w:t>
      </w:r>
      <w:r>
        <w:t xml:space="preserve"> </w:t>
      </w:r>
      <w:r>
        <w:t xml:space="preserve">that cite their sources. That is the direction we are building toward.</w:t>
      </w:r>
    </w:p>
    <w:p>
      <w:pPr>
        <w:pStyle w:val="BodyText"/>
      </w:pPr>
      <w:r>
        <w:t xml:space="preserve">https://heratio.theahg.co.za/articles</w:t>
      </w:r>
    </w:p>
    <w:p>
      <w:pPr>
        <w:pStyle w:val="BodyText"/>
      </w:pPr>
      <w:r>
        <w:t xml:space="preserve">#DigitalPreservation #AI #CulturalHeritage #Archives</w:t>
      </w:r>
    </w:p>
    <w:p>
      <w:r>
        <w:pict>
          <v:rect style="width:0;height:1.5pt" o:hralign="center" o:hrstd="t" o:hr="t"/>
        </w:pict>
      </w:r>
    </w:p>
    <w:bookmarkEnd w:id="25"/>
    <w:bookmarkStart w:id="26" w:name="Xbf87d83f42dd7a0b0b91a2864223cac34f4ba21"/>
    <w:p>
      <w:pPr>
        <w:pStyle w:val="Heading2"/>
      </w:pPr>
      <w:r>
        <w:t xml:space="preserve">Post 7 - The LLM paradox (for the technical crowd)</w:t>
      </w:r>
    </w:p>
    <w:p>
      <w:pPr>
        <w:pStyle w:val="FirstParagraph"/>
      </w:pPr>
      <w:r>
        <w:t xml:space="preserve">“</w:t>
      </w:r>
      <w:r>
        <w:t xml:space="preserve">What model do you use?</w:t>
      </w:r>
      <w:r>
        <w:t xml:space="preserve">”</w:t>
      </w:r>
      <w:r>
        <w:t xml:space="preserve"> </w:t>
      </w:r>
      <w:r>
        <w:t xml:space="preserve">is the wrong first question.</w:t>
      </w:r>
    </w:p>
    <w:p>
      <w:pPr>
        <w:pStyle w:val="BodyText"/>
      </w:pPr>
      <w:r>
        <w:t xml:space="preserve">The model is the cheapest, most swappable part of an archival AI system. Retrieval,</w:t>
      </w:r>
      <w:r>
        <w:t xml:space="preserve"> </w:t>
      </w:r>
      <w:r>
        <w:t xml:space="preserve">provenance, and governance are what make or break it. We explain why, and the two fixable</w:t>
      </w:r>
      <w:r>
        <w:t xml:space="preserve"> </w:t>
      </w:r>
      <w:r>
        <w:t xml:space="preserve">retrieval defects we see most often.</w:t>
      </w:r>
    </w:p>
    <w:p>
      <w:pPr>
        <w:pStyle w:val="BodyText"/>
      </w:pPr>
      <w:r>
        <w:t xml:space="preserve">https://heratio.theahg.co.za/articles</w:t>
      </w:r>
    </w:p>
    <w:p>
      <w:pPr>
        <w:pStyle w:val="BodyText"/>
      </w:pPr>
      <w:r>
        <w:t xml:space="preserve">#MachineLearning #RAG #LLM #SearchRelevance</w:t>
      </w:r>
    </w:p>
    <w:p>
      <w:r>
        <w:pict>
          <v:rect style="width:0;height:1.5pt" o:hralign="center" o:hrstd="t" o:hr="t"/>
        </w:pict>
      </w:r>
    </w:p>
    <w:bookmarkEnd w:id="26"/>
    <w:bookmarkStart w:id="27" w:name="hashtag-bank-mix-and-match-3-5-per-post"/>
    <w:p>
      <w:pPr>
        <w:pStyle w:val="Heading2"/>
      </w:pPr>
      <w:r>
        <w:t xml:space="preserve">Hashtag bank (mix and match, 3-5 per post)</w:t>
      </w:r>
    </w:p>
    <w:p>
      <w:pPr>
        <w:pStyle w:val="FirstParagraph"/>
      </w:pPr>
      <w:r>
        <w:rPr>
          <w:rStyle w:val="VerbatimChar"/>
        </w:rPr>
        <w:t xml:space="preserve">#RecordsManagement</w:t>
      </w:r>
      <w:r>
        <w:t xml:space="preserve"> </w:t>
      </w:r>
      <w:r>
        <w:rPr>
          <w:rStyle w:val="VerbatimChar"/>
        </w:rPr>
        <w:t xml:space="preserve">#ArchivesAI</w:t>
      </w:r>
      <w:r>
        <w:t xml:space="preserve"> </w:t>
      </w:r>
      <w:r>
        <w:rPr>
          <w:rStyle w:val="VerbatimChar"/>
        </w:rPr>
        <w:t xml:space="preserve">#InformationGovernance</w:t>
      </w:r>
      <w:r>
        <w:t xml:space="preserve"> </w:t>
      </w:r>
      <w:r>
        <w:rPr>
          <w:rStyle w:val="VerbatimChar"/>
        </w:rPr>
        <w:t xml:space="preserve">#GLAM</w:t>
      </w:r>
      <w:r>
        <w:t xml:space="preserve"> </w:t>
      </w:r>
      <w:r>
        <w:rPr>
          <w:rStyle w:val="VerbatimChar"/>
        </w:rPr>
        <w:t xml:space="preserve">#EDRMS</w:t>
      </w:r>
      <w:r>
        <w:t xml:space="preserve"> </w:t>
      </w:r>
      <w:r>
        <w:rPr>
          <w:rStyle w:val="VerbatimChar"/>
        </w:rPr>
        <w:t xml:space="preserve">#DigitalPreservation</w:t>
      </w:r>
      <w:r>
        <w:t xml:space="preserve"> </w:t>
      </w:r>
      <w:r>
        <w:rPr>
          <w:rStyle w:val="VerbatimChar"/>
        </w:rPr>
        <w:t xml:space="preserve">#CulturalHeritage</w:t>
      </w:r>
      <w:r>
        <w:t xml:space="preserve"> </w:t>
      </w:r>
      <w:r>
        <w:rPr>
          <w:rStyle w:val="VerbatimChar"/>
        </w:rPr>
        <w:t xml:space="preserve">#AIGovernance</w:t>
      </w:r>
      <w:r>
        <w:t xml:space="preserve"> </w:t>
      </w:r>
      <w:r>
        <w:rPr>
          <w:rStyle w:val="VerbatimChar"/>
        </w:rPr>
        <w:t xml:space="preserve">#TrustworthyAI</w:t>
      </w:r>
      <w:r>
        <w:t xml:space="preserve"> </w:t>
      </w:r>
      <w:r>
        <w:rPr>
          <w:rStyle w:val="VerbatimChar"/>
        </w:rPr>
        <w:t xml:space="preserve">#Provenance</w:t>
      </w:r>
      <w:r>
        <w:t xml:space="preserve"> </w:t>
      </w:r>
      <w:r>
        <w:rPr>
          <w:rStyle w:val="VerbatimChar"/>
        </w:rPr>
        <w:t xml:space="preserve">#DataProtection</w:t>
      </w:r>
      <w:r>
        <w:t xml:space="preserve"> </w:t>
      </w:r>
      <w:r>
        <w:rPr>
          <w:rStyle w:val="VerbatimChar"/>
        </w:rPr>
        <w:t xml:space="preserve">#FOI</w:t>
      </w:r>
      <w:r>
        <w:t xml:space="preserve"> </w:t>
      </w:r>
      <w:r>
        <w:rPr>
          <w:rStyle w:val="VerbatimChar"/>
        </w:rPr>
        <w:t xml:space="preserve">#DigitalTwin</w:t>
      </w:r>
      <w:r>
        <w:t xml:space="preserve"> </w:t>
      </w:r>
      <w:r>
        <w:rPr>
          <w:rStyle w:val="VerbatimChar"/>
        </w:rPr>
        <w:t xml:space="preserve">#Museums</w:t>
      </w:r>
      <w:r>
        <w:t xml:space="preserve"> </w:t>
      </w:r>
      <w:r>
        <w:rPr>
          <w:rStyle w:val="VerbatimChar"/>
        </w:rPr>
        <w:t xml:space="preserve">#Libraries</w:t>
      </w:r>
      <w:r>
        <w:t xml:space="preserve"> </w:t>
      </w:r>
      <w:r>
        <w:rPr>
          <w:rStyle w:val="VerbatimChar"/>
        </w:rPr>
        <w:t xml:space="preserve">#RAG</w:t>
      </w:r>
      <w:r>
        <w:t xml:space="preserve"> </w:t>
      </w:r>
      <w:r>
        <w:rPr>
          <w:rStyle w:val="VerbatimChar"/>
        </w:rPr>
        <w:t xml:space="preserve">#LLM</w:t>
      </w:r>
    </w:p>
    <w:bookmarkEnd w:id="27"/>
    <w:bookmarkStart w:id="28" w:name="reusable-cta-line"/>
    <w:p>
      <w:pPr>
        <w:pStyle w:val="Heading2"/>
      </w:pPr>
      <w:r>
        <w:t xml:space="preserve">Reusable CTA line</w:t>
      </w:r>
    </w:p>
    <w:p>
      <w:pPr>
        <w:pStyle w:val="BlockText"/>
      </w:pPr>
      <w:r>
        <w:t xml:space="preserve">Read the full series and download the framework workbook: https://heratio.theahg.co.za/articles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2026-06-21T09:09:54Z</dcterms:created>
  <dcterms:modified xsi:type="dcterms:W3CDTF">2026-06-21T09:09:54Z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