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-for-records-archives---the-workbook"/>
    <w:p>
      <w:pPr>
        <w:pStyle w:val="Heading1"/>
      </w:pPr>
      <w:r>
        <w:t xml:space="preserve">AI for Records &amp; Archives - the Workbook</w:t>
      </w:r>
    </w:p>
    <w:p>
      <w:pPr>
        <w:pStyle w:val="BlockText"/>
      </w:pPr>
      <w:r>
        <w:t xml:space="preserve">A working reference for introducing AI/ML into records and archives management at</w:t>
      </w:r>
      <w:r>
        <w:t xml:space="preserve"> </w:t>
      </w:r>
      <w:r>
        <w:t xml:space="preserve">scale (shared drives, file shares, email stores), with governance, privacy, legal</w:t>
      </w:r>
      <w:r>
        <w:t xml:space="preserve"> </w:t>
      </w:r>
      <w:r>
        <w:t xml:space="preserve">defensibility, and operational adoption built in. Vendor- and jurisdiction-agnostic.</w:t>
      </w:r>
      <w:r>
        <w:t xml:space="preserve"> </w:t>
      </w:r>
      <w:r>
        <w:t xml:space="preserve">Read the sections, then copy the</w:t>
      </w:r>
      <w:r>
        <w:t xml:space="preserve"> </w:t>
      </w:r>
      <w:r>
        <w:rPr>
          <w:bCs/>
          <w:b/>
        </w:rPr>
        <w:t xml:space="preserve">tick-sheets</w:t>
      </w:r>
      <w:r>
        <w:t xml:space="preserve"> </w:t>
      </w:r>
      <w:r>
        <w:t xml:space="preserve">and fill them in for your own pilot.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AI specialists and non-specialist records, legal, and executive readers.</w:t>
      </w:r>
      <w:r>
        <w:t xml:space="preserve"> </w:t>
      </w:r>
      <w:r>
        <w:rPr>
          <w:bCs/>
          <w:b/>
        </w:rPr>
        <w:t xml:space="preserve">How to use:</w:t>
      </w:r>
      <w:r>
        <w:t xml:space="preserve"> </w:t>
      </w:r>
      <w:r>
        <w:t xml:space="preserve">sections 1-6 are the reference; section 7 is the fillable workbook;</w:t>
      </w:r>
      <w:r>
        <w:t xml:space="preserve"> </w:t>
      </w:r>
      <w:r>
        <w:t xml:space="preserve">section 8 is the compliance control catalog; section 9 links the supporting reading.</w:t>
      </w:r>
    </w:p>
    <w:p>
      <w:r>
        <w:pict>
          <v:rect style="width:0;height:1.5pt" o:hralign="center" o:hrstd="t" o:hr="t"/>
        </w:pict>
      </w:r>
    </w:p>
    <w:bookmarkStart w:id="20" w:name="core-principles"/>
    <w:p>
      <w:pPr>
        <w:pStyle w:val="Heading2"/>
      </w:pPr>
      <w:r>
        <w:t xml:space="preserve">1. Core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Provenance-first.</w:t>
      </w:r>
      <w:r>
        <w:t xml:space="preserve"> </w:t>
      </w:r>
      <w:r>
        <w:t xml:space="preserve">Every AI-derived assertion carries machine-readable provenance:</w:t>
      </w:r>
      <w:r>
        <w:t xml:space="preserve"> </w:t>
      </w:r>
      <w:r>
        <w:t xml:space="preserve">what, who/what ran it, when, which model/version, configuration, and confidence.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Privacy-by-design.</w:t>
      </w:r>
      <w:r>
        <w:t xml:space="preserve"> </w:t>
      </w:r>
      <w:r>
        <w:t xml:space="preserve">Detect and protect personal data early; record the lawful-basis</w:t>
      </w:r>
      <w:r>
        <w:t xml:space="preserve"> </w:t>
      </w:r>
      <w:r>
        <w:t xml:space="preserve">decision; restrict output accordingly.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Human-in-the-loop.</w:t>
      </w:r>
      <w:r>
        <w:t xml:space="preserve"> </w:t>
      </w:r>
      <w:r>
        <w:t xml:space="preserve">High-risk actions (disposal, transfer, sensitive access) require</w:t>
      </w:r>
      <w:r>
        <w:t xml:space="preserve"> </w:t>
      </w:r>
      <w:r>
        <w:t xml:space="preserve">human validation. AI is an assistant, not an arbiter.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Standards-aligned.</w:t>
      </w:r>
      <w:r>
        <w:t xml:space="preserve"> </w:t>
      </w:r>
      <w:r>
        <w:t xml:space="preserve">Map outputs to the applicable data-protection and</w:t>
      </w:r>
      <w:r>
        <w:t xml:space="preserve"> </w:t>
      </w:r>
      <w:r>
        <w:t xml:space="preserve">access-to-information laws, national archival legislation, and ISO standards</w:t>
      </w:r>
      <w:r>
        <w:t xml:space="preserve"> </w:t>
      </w:r>
      <w:r>
        <w:t xml:space="preserve">(15489 / 23081 / 16175 / 30301 / ISO/IEC 23894 / 42001) so they are auditable across</w:t>
      </w:r>
      <w:r>
        <w:t xml:space="preserve"> </w:t>
      </w:r>
      <w:r>
        <w:t xml:space="preserve">jurisdictions.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Phased and measurable.</w:t>
      </w:r>
      <w:r>
        <w:t xml:space="preserve"> </w:t>
      </w:r>
      <w:r>
        <w:t xml:space="preserve">Start with pilots and canary deployments behind measurable</w:t>
      </w:r>
      <w:r>
        <w:t xml:space="preserve"> </w:t>
      </w:r>
      <w:r>
        <w:t xml:space="preserve">KPIs (precision/recall, time-to-discovery, access-to-information SLA compliance).</w:t>
      </w:r>
    </w:p>
    <w:bookmarkEnd w:id="20"/>
    <w:bookmarkStart w:id="21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A layered, minimal-dependence architecture suitable for hybrid deployments - see</w:t>
      </w:r>
      <w:r>
        <w:t xml:space="preserve"> </w:t>
      </w:r>
      <w:r>
        <w:rPr>
          <w:bCs/>
          <w:b/>
        </w:rPr>
        <w:t xml:space="preserve">Figure 2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diagrams.md</w:t>
      </w:r>
      <w:r>
        <w:t xml:space="preserve">). Policy and control flow down the layers; evidence and</w:t>
      </w:r>
      <w:r>
        <w:t xml:space="preserve"> </w:t>
      </w:r>
      <w:r>
        <w:t xml:space="preserve">provenance flow back 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Regulatory &amp; policy</w:t>
      </w:r>
      <w:r>
        <w:t xml:space="preserve"> </w:t>
      </w:r>
      <w:r>
        <w:t xml:space="preserve">- obligations, file-plan, retention authorities, classification.</w:t>
      </w:r>
      <w:r>
        <w:t xml:space="preserve"> </w:t>
      </w:r>
      <w:r>
        <w:t xml:space="preserve">The source of truth for what the law and the institution require; every layer above must</w:t>
      </w:r>
      <w:r>
        <w:t xml:space="preserve"> </w:t>
      </w:r>
      <w:r>
        <w:t xml:space="preserve">honour these constraints.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Governance</w:t>
      </w:r>
      <w:r>
        <w:t xml:space="preserve"> </w:t>
      </w:r>
      <w:r>
        <w:t xml:space="preserve">- committee, risk register, model registry, performance gates. Where people</w:t>
      </w:r>
      <w:r>
        <w:t xml:space="preserve"> </w:t>
      </w:r>
      <w:r>
        <w:t xml:space="preserve">hold the AI to account: the committee approves models for production, and the gates keep an</w:t>
      </w:r>
      <w:r>
        <w:t xml:space="preserve"> </w:t>
      </w:r>
      <w:r>
        <w:t xml:space="preserve">unproven model away from live records.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 &amp; provenance</w:t>
      </w:r>
      <w:r>
        <w:t xml:space="preserve"> </w:t>
      </w:r>
      <w:r>
        <w:t xml:space="preserve">- crawlers, snapshot store (file hash + URI), OCR, token-level</w:t>
      </w:r>
      <w:r>
        <w:t xml:space="preserve"> </w:t>
      </w:r>
      <w:r>
        <w:t xml:space="preserve">provenance, ingest manifest, the</w:t>
      </w:r>
      <w:r>
        <w:t xml:space="preserve"> </w:t>
      </w:r>
      <w:r>
        <w:rPr>
          <w:rStyle w:val="VerbatimChar"/>
        </w:rPr>
        <w:t xml:space="preserve">queue_for_ingest</w:t>
      </w:r>
      <w:r>
        <w:t xml:space="preserve"> </w:t>
      </w:r>
      <w:r>
        <w:t xml:space="preserve">tick-box. The controlled front door:</w:t>
      </w:r>
      <w:r>
        <w:t xml:space="preserve"> </w:t>
      </w:r>
      <w:r>
        <w:t xml:space="preserve">content comes in without altering the originals, and each step is stamped with provenance.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Intelligence</w:t>
      </w:r>
      <w:r>
        <w:t xml:space="preserve"> </w:t>
      </w:r>
      <w:r>
        <w:t xml:space="preserve">- NER, classification, sensitivity detectors, dedupe, embeddings /</w:t>
      </w:r>
      <w:r>
        <w:t xml:space="preserve"> </w:t>
      </w:r>
      <w:r>
        <w:t xml:space="preserve">semantic search, model serving. The machine work of understanding the content; deliberately</w:t>
      </w:r>
      <w:r>
        <w:t xml:space="preserve"> </w:t>
      </w:r>
      <w:r>
        <w:t xml:space="preserve">swappable, so models can be upgraded without disturbing the layers around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&amp; lifecycle</w:t>
      </w:r>
      <w:r>
        <w:t xml:space="preserve"> </w:t>
      </w:r>
      <w:r>
        <w:t xml:space="preserve">- ECM/EDRMS integration, retention enforcement (human-acknowledged),</w:t>
      </w:r>
      <w:r>
        <w:t xml:space="preserve"> </w:t>
      </w:r>
      <w:r>
        <w:t xml:space="preserve">secure transfer, ACLs. Turns decisions into action inside the systems of record, and</w:t>
      </w:r>
      <w:r>
        <w:t xml:space="preserve"> </w:t>
      </w:r>
      <w:r>
        <w:t xml:space="preserve">controls who can see what.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 UX &amp; review</w:t>
      </w:r>
      <w:r>
        <w:t xml:space="preserve"> </w:t>
      </w:r>
      <w:r>
        <w:t xml:space="preserve">- provenance timeline, diff viewer, review queues, audit exports.</w:t>
      </w:r>
      <w:r>
        <w:t xml:space="preserve"> </w:t>
      </w:r>
      <w:r>
        <w:t xml:space="preserve">Where people work with the system: it makes the AI’s reasoning visible and produces the</w:t>
      </w:r>
      <w:r>
        <w:t xml:space="preserve"> </w:t>
      </w:r>
      <w:r>
        <w:t xml:space="preserve">audit evidence regulators and auditors ask for.</w:t>
      </w:r>
    </w:p>
    <w:bookmarkEnd w:id="21"/>
    <w:bookmarkStart w:id="22" w:name="the-pipeline"/>
    <w:p>
      <w:pPr>
        <w:pStyle w:val="Heading2"/>
      </w:pPr>
      <w:r>
        <w:t xml:space="preserve">3. The pipeline</w:t>
      </w:r>
    </w:p>
    <w:p>
      <w:pPr>
        <w:pStyle w:val="FirstParagraph"/>
      </w:pPr>
      <w:r>
        <w:t xml:space="preserve">The document journey end to end - see</w:t>
      </w:r>
      <w:r>
        <w:t xml:space="preserve"> </w:t>
      </w:r>
      <w:r>
        <w:rPr>
          <w:bCs/>
          <w:b/>
        </w:rPr>
        <w:t xml:space="preserve">Figure 3</w:t>
      </w:r>
      <w:r>
        <w:t xml:space="preserve">. A provenance event is emitted at</w:t>
      </w:r>
      <w:r>
        <w:t xml:space="preserve"> </w:t>
      </w:r>
      <w:r>
        <w:t xml:space="preserve">every stage, so any later assertion can be traced back to its source.</w:t>
      </w:r>
    </w:p>
    <w:p>
      <w:pPr>
        <w:pStyle w:val="BodyText"/>
      </w:pPr>
      <w:r>
        <w:t xml:space="preserve">Source stores → crawler/ingest → snapshot + hash → OCR → NER/classification →</w:t>
      </w:r>
      <w:r>
        <w:t xml:space="preserve"> </w:t>
      </w:r>
      <w:r>
        <w:t xml:space="preserve">sensitivity/PII detection → confidence/risk gate → (auto-accept or human review) →</w:t>
      </w:r>
      <w:r>
        <w:t xml:space="preserve"> </w:t>
      </w:r>
      <w:r>
        <w:t xml:space="preserve">ECM/retention → access &amp; export.</w:t>
      </w:r>
    </w:p>
    <w:bookmarkEnd w:id="22"/>
    <w:bookmarkStart w:id="23" w:name="key-components"/>
    <w:p>
      <w:pPr>
        <w:pStyle w:val="Heading2"/>
      </w:pPr>
      <w:r>
        <w:t xml:space="preserve">4. Key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Crawler &amp; ingest</w:t>
      </w:r>
      <w:r>
        <w:t xml:space="preserve"> </w:t>
      </w:r>
      <w:r>
        <w:t xml:space="preserve">- reads from the source stores without modifying them, under</w:t>
      </w:r>
      <w:r>
        <w:t xml:space="preserve"> </w:t>
      </w:r>
      <w:r>
        <w:t xml:space="preserve">least-privilege access, picking up only what is new or changed on each pass; an uploader</w:t>
      </w:r>
      <w:r>
        <w:t xml:space="preserve"> </w:t>
      </w:r>
      <w:r>
        <w:rPr>
          <w:rStyle w:val="VerbatimChar"/>
        </w:rPr>
        <w:t xml:space="preserve">queue_for_ingest</w:t>
      </w:r>
      <w:r>
        <w:t xml:space="preserve"> </w:t>
      </w:r>
      <w:r>
        <w:t xml:space="preserve">tick-box gives a single auditable point of entry; a snapshot store</w:t>
      </w:r>
      <w:r>
        <w:t xml:space="preserve"> </w:t>
      </w:r>
      <w:r>
        <w:t xml:space="preserve">records each file’s hash + object-store URI so any result can be reproduced and verified.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OCR &amp; text extraction</w:t>
      </w:r>
      <w:r>
        <w:t xml:space="preserve"> </w:t>
      </w:r>
      <w:r>
        <w:t xml:space="preserve">- layout-aware OCR that understands page structure (columns,</w:t>
      </w:r>
      <w:r>
        <w:t xml:space="preserve"> </w:t>
      </w:r>
      <w:r>
        <w:t xml:space="preserve">tables, headings) and records where each character sits (page + offset), so every word</w:t>
      </w:r>
      <w:r>
        <w:t xml:space="preserve"> </w:t>
      </w:r>
      <w:r>
        <w:t xml:space="preserve">traces back to its place on the page; raw OCR is kept as a first-class artefact, never</w:t>
      </w:r>
      <w:r>
        <w:t xml:space="preserve"> </w:t>
      </w:r>
      <w:r>
        <w:t xml:space="preserve">written over the original.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NER / classification</w:t>
      </w:r>
      <w:r>
        <w:t xml:space="preserve"> </w:t>
      </w:r>
      <w:r>
        <w:t xml:space="preserve">- entity recognition and classifiers trained on the</w:t>
      </w:r>
      <w:r>
        <w:t xml:space="preserve"> </w:t>
      </w:r>
      <w:r>
        <w:t xml:space="preserve">organisation’s own material and file plan, not a generic vocabulary; configurable</w:t>
      </w:r>
      <w:r>
        <w:t xml:space="preserve"> </w:t>
      </w:r>
      <w:r>
        <w:t xml:space="preserve">confidence thresholds route uncertain items to a human; a model registry records each</w:t>
      </w:r>
      <w:r>
        <w:t xml:space="preserve"> </w:t>
      </w:r>
      <w:r>
        <w:t xml:space="preserve">model’s training-data provenance, evaluation sets and metrics.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Sensitivity &amp; privacy</w:t>
      </w:r>
      <w:r>
        <w:t xml:space="preserve"> </w:t>
      </w:r>
      <w:r>
        <w:t xml:space="preserve">- detectors for personal and special-category data (names, IDs,</w:t>
      </w:r>
      <w:r>
        <w:t xml:space="preserve"> </w:t>
      </w:r>
      <w:r>
        <w:t xml:space="preserve">health, financial) run early, before content is indexed; policy then decides whether to</w:t>
      </w:r>
      <w:r>
        <w:t xml:space="preserve"> </w:t>
      </w:r>
      <w:r>
        <w:t xml:space="preserve">index, limit, redact or withhold - see</w:t>
      </w:r>
      <w:r>
        <w:t xml:space="preserve"> </w:t>
      </w:r>
      <w:r>
        <w:rPr>
          <w:bCs/>
          <w:b/>
        </w:rPr>
        <w:t xml:space="preserve">Figure 8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Provenance store</w:t>
      </w:r>
      <w:r>
        <w:t xml:space="preserve"> </w:t>
      </w:r>
      <w:r>
        <w:t xml:space="preserve">- append-only events (processing jobs, reviews, policy decisions)</w:t>
      </w:r>
      <w:r>
        <w:t xml:space="preserve"> </w:t>
      </w:r>
      <w:r>
        <w:t xml:space="preserve">that are never edited or deleted, stored as structured JSON so any record’s full history</w:t>
      </w:r>
      <w:r>
        <w:t xml:space="preserve"> </w:t>
      </w:r>
      <w:r>
        <w:t xml:space="preserve">can be audited and replayed.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Human review &amp; workflows</w:t>
      </w:r>
      <w:r>
        <w:t xml:space="preserve"> </w:t>
      </w:r>
      <w:r>
        <w:t xml:space="preserve">- low-confidence or high-risk items are surfaced to a curator</w:t>
      </w:r>
      <w:r>
        <w:t xml:space="preserve"> </w:t>
      </w:r>
      <w:r>
        <w:t xml:space="preserve">rather than actioned automatically; a diff viewer shows raw vs canonical text and reviewer</w:t>
      </w:r>
      <w:r>
        <w:t xml:space="preserve"> </w:t>
      </w:r>
      <w:r>
        <w:t xml:space="preserve">edits so corrections stay transparent - see</w:t>
      </w:r>
      <w:r>
        <w:t xml:space="preserve"> </w:t>
      </w:r>
      <w:r>
        <w:rPr>
          <w:bCs/>
          <w:b/>
        </w:rPr>
        <w:t xml:space="preserve">Figure 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APIs &amp; integration</w:t>
      </w:r>
      <w:r>
        <w:t xml:space="preserve"> </w:t>
      </w:r>
      <w:r>
        <w:t xml:space="preserve">- ingest, provenance, review, search, audit, and access-request</w:t>
      </w:r>
      <w:r>
        <w:t xml:space="preserve"> </w:t>
      </w:r>
      <w:r>
        <w:t xml:space="preserve">endpoints, plus adapters to the systems records already live in (common ECM/EDRMS), so the</w:t>
      </w:r>
      <w:r>
        <w:t xml:space="preserve"> </w:t>
      </w:r>
      <w:r>
        <w:t xml:space="preserve">pipeline augments the estate rather than replacing it.</w:t>
      </w:r>
    </w:p>
    <w:bookmarkEnd w:id="23"/>
    <w:bookmarkStart w:id="24" w:name="provenance-and-evidence"/>
    <w:p>
      <w:pPr>
        <w:pStyle w:val="Heading2"/>
      </w:pPr>
      <w:r>
        <w:t xml:space="preserve">5. Provenance and evidence</w:t>
      </w:r>
    </w:p>
    <w:p>
      <w:pPr>
        <w:pStyle w:val="FirstParagraph"/>
      </w:pPr>
      <w:r>
        <w:t xml:space="preserve">The spine of trust - see</w:t>
      </w:r>
      <w:r>
        <w:t xml:space="preserve"> </w:t>
      </w:r>
      <w:r>
        <w:rPr>
          <w:bCs/>
          <w:b/>
        </w:rPr>
        <w:t xml:space="preserve">Figure 4</w:t>
      </w:r>
      <w:r>
        <w:t xml:space="preserve"> </w:t>
      </w:r>
      <w:r>
        <w:t xml:space="preserve">(PROV-O). Store provenance at event granularity</w:t>
      </w:r>
      <w:r>
        <w:t xml:space="preserve"> </w:t>
      </w:r>
      <w:r>
        <w:t xml:space="preserve">(ingest, transform, classification, redaction, export). Each event: timestamp (ISO 8601</w:t>
      </w:r>
      <w:r>
        <w:t xml:space="preserve"> </w:t>
      </w:r>
      <w:r>
        <w:t xml:space="preserve">UTC), agent id, action type, inputs, outputs, optional signature, job id. Sign logs with a</w:t>
      </w:r>
      <w:r>
        <w:t xml:space="preserve"> </w:t>
      </w:r>
      <w:r>
        <w:t xml:space="preserve">server key and support a chain-of-custody export. A worked schema is in section 10.</w:t>
      </w:r>
    </w:p>
    <w:bookmarkEnd w:id="24"/>
    <w:bookmarkStart w:id="25" w:name="governance-and-roles"/>
    <w:p>
      <w:pPr>
        <w:pStyle w:val="Heading2"/>
      </w:pPr>
      <w:r>
        <w:t xml:space="preserve">6. Governance and roles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Figure 6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Governance Committee</w:t>
      </w:r>
      <w:r>
        <w:t xml:space="preserve"> </w:t>
      </w:r>
      <w:r>
        <w:t xml:space="preserve">- Records Manager, Legal, IT/Security, Risk, Business Unit.</w:t>
      </w:r>
      <w:r>
        <w:t xml:space="preserve"> </w:t>
      </w:r>
      <w:r>
        <w:t xml:space="preserve">Approves models for production, reviews bias/drift, signs phase gates.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 Owner / Data Steward</w:t>
      </w:r>
      <w:r>
        <w:t xml:space="preserve"> </w:t>
      </w:r>
      <w:r>
        <w:t xml:space="preserve">- dataset curation, labelled evaluation sets, performance.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Reviewers / Curators</w:t>
      </w:r>
      <w:r>
        <w:t xml:space="preserve"> </w:t>
      </w:r>
      <w:r>
        <w:t xml:space="preserve">- resolve review queues, authoritatively approve retention and</w:t>
      </w:r>
      <w:r>
        <w:t xml:space="preserve"> </w:t>
      </w:r>
      <w:r>
        <w:t xml:space="preserve">transfers.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Platform Ops / SRE</w:t>
      </w:r>
      <w:r>
        <w:t xml:space="preserve"> </w:t>
      </w:r>
      <w:r>
        <w:t xml:space="preserve">- model serving, scaling, backups, incident response.</w:t>
      </w:r>
    </w:p>
    <w:p>
      <w:pPr>
        <w:pStyle w:val="FirstParagraph"/>
      </w:pPr>
      <w:r>
        <w:t xml:space="preserve">The roadmap (Phases 0-3) is</w:t>
      </w:r>
      <w:r>
        <w:t xml:space="preserve"> </w:t>
      </w:r>
      <w:r>
        <w:rPr>
          <w:bCs/>
          <w:b/>
        </w:rPr>
        <w:t xml:space="preserve">Figure 7</w:t>
      </w:r>
      <w:r>
        <w:t xml:space="preserve">; the model governance loop is</w:t>
      </w:r>
      <w:r>
        <w:t xml:space="preserve"> </w:t>
      </w:r>
      <w:r>
        <w:rPr>
          <w:bCs/>
          <w:b/>
        </w:rPr>
        <w:t xml:space="preserve">Figure 11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1" w:name="the-workbook-fillable-tick-sheets"/>
    <w:p>
      <w:pPr>
        <w:pStyle w:val="Heading2"/>
      </w:pPr>
      <w:r>
        <w:t xml:space="preserve">7. The workbook (fillable tick-sheets)</w:t>
      </w:r>
    </w:p>
    <w:p>
      <w:pPr>
        <w:pStyle w:val="FirstParagraph"/>
      </w:pPr>
      <w:r>
        <w:t xml:space="preserve">Copy each list into your pilot workspace and tick as you go. Replace every bracketed</w:t>
      </w:r>
      <w:r>
        <w:t xml:space="preserve"> </w:t>
      </w:r>
      <w:r>
        <w:t xml:space="preserve">placeholder with your own value.</w:t>
      </w:r>
    </w:p>
    <w:bookmarkStart w:id="26" w:name="minimum-viable-deployment"/>
    <w:p>
      <w:pPr>
        <w:pStyle w:val="Heading3"/>
      </w:pPr>
      <w:r>
        <w:t xml:space="preserve">7.1 Minimum viable deployment</w:t>
      </w:r>
    </w:p>
    <w:p>
      <w:pPr>
        <w:numPr>
          <w:ilvl w:val="0"/>
          <w:numId w:val="1005"/>
        </w:numPr>
        <w:pStyle w:val="Compact"/>
      </w:pPr>
      <w:r>
        <w:t xml:space="preserve">☐ Legal sign-off on the pilot (data-protection + access-to-information mapping)</w:t>
      </w:r>
    </w:p>
    <w:p>
      <w:pPr>
        <w:numPr>
          <w:ilvl w:val="0"/>
          <w:numId w:val="1005"/>
        </w:numPr>
        <w:pStyle w:val="Compact"/>
      </w:pPr>
      <w:r>
        <w:t xml:space="preserve">☐ Defined pilot dataset and success criteria (accuracy target, manual-hours reduction, access-to-information SLA target)</w:t>
      </w:r>
    </w:p>
    <w:p>
      <w:pPr>
        <w:numPr>
          <w:ilvl w:val="0"/>
          <w:numId w:val="1005"/>
        </w:numPr>
        <w:pStyle w:val="Compact"/>
      </w:pPr>
      <w:r>
        <w:t xml:space="preserve">☐ Provenance JSON schema and database column (JSONB) agreed</w:t>
      </w:r>
    </w:p>
    <w:p>
      <w:pPr>
        <w:numPr>
          <w:ilvl w:val="0"/>
          <w:numId w:val="1005"/>
        </w:numPr>
        <w:pStyle w:val="Compact"/>
      </w:pPr>
      <w:r>
        <w:t xml:space="preserve">☐ APIs available for ingest, provenance, and review</w:t>
      </w:r>
    </w:p>
    <w:p>
      <w:pPr>
        <w:numPr>
          <w:ilvl w:val="0"/>
          <w:numId w:val="1005"/>
        </w:numPr>
        <w:pStyle w:val="Compact"/>
      </w:pPr>
      <w:r>
        <w:t xml:space="preserve">☐ Human-review dashboard with assign / claim / complete actions</w:t>
      </w:r>
    </w:p>
    <w:p>
      <w:pPr>
        <w:numPr>
          <w:ilvl w:val="0"/>
          <w:numId w:val="1005"/>
        </w:numPr>
        <w:pStyle w:val="Compact"/>
      </w:pPr>
      <w:r>
        <w:t xml:space="preserve">☐ Backup and immutable logs for auditability</w:t>
      </w:r>
    </w:p>
    <w:bookmarkEnd w:id="26"/>
    <w:bookmarkStart w:id="27" w:name="vendor-procurement-checklist"/>
    <w:p>
      <w:pPr>
        <w:pStyle w:val="Heading3"/>
      </w:pPr>
      <w:r>
        <w:t xml:space="preserve">7.2 Vendor / procurement checklist</w:t>
      </w:r>
    </w:p>
    <w:p>
      <w:pPr>
        <w:numPr>
          <w:ilvl w:val="0"/>
          <w:numId w:val="1006"/>
        </w:numPr>
        <w:pStyle w:val="Compact"/>
      </w:pPr>
      <w:r>
        <w:t xml:space="preserve">☐ Technical design maps to the layered architecture (section 2)</w:t>
      </w:r>
    </w:p>
    <w:p>
      <w:pPr>
        <w:numPr>
          <w:ilvl w:val="0"/>
          <w:numId w:val="1006"/>
        </w:numPr>
        <w:pStyle w:val="Compact"/>
      </w:pPr>
      <w:r>
        <w:t xml:space="preserve">☐ Model governance and retraining plan provided</w:t>
      </w:r>
    </w:p>
    <w:p>
      <w:pPr>
        <w:numPr>
          <w:ilvl w:val="0"/>
          <w:numId w:val="1006"/>
        </w:numPr>
        <w:pStyle w:val="Compact"/>
      </w:pPr>
      <w:r>
        <w:t xml:space="preserve">☐ Deployment + rollback plan and a maintenance SLA</w:t>
      </w:r>
    </w:p>
    <w:p>
      <w:pPr>
        <w:numPr>
          <w:ilvl w:val="0"/>
          <w:numId w:val="1006"/>
        </w:numPr>
        <w:pStyle w:val="Compact"/>
      </w:pPr>
      <w:r>
        <w:t xml:space="preserve">☐ Evidence of data-protection and access-to-information compliance controls for the target jurisdiction(s)</w:t>
      </w:r>
    </w:p>
    <w:p>
      <w:pPr>
        <w:numPr>
          <w:ilvl w:val="0"/>
          <w:numId w:val="1006"/>
        </w:numPr>
        <w:pStyle w:val="Compact"/>
      </w:pPr>
      <w:r>
        <w:t xml:space="preserve">☐ References to prior deployments of similar scale (if any)</w:t>
      </w:r>
    </w:p>
    <w:bookmarkEnd w:id="27"/>
    <w:bookmarkStart w:id="28" w:name="Xca9139b00c5d2e1b7bed31c0f9d2bbbad0ff442"/>
    <w:p>
      <w:pPr>
        <w:pStyle w:val="Heading3"/>
      </w:pPr>
      <w:r>
        <w:t xml:space="preserve">7.3 Acceptance tests (demonstrate during the pilot)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Ingest manifest</w:t>
      </w:r>
      <w:r>
        <w:t xml:space="preserve"> </w:t>
      </w:r>
      <w:r>
        <w:t xml:space="preserve">- upload 1000 files with</w:t>
      </w:r>
      <w:r>
        <w:t xml:space="preserve"> </w:t>
      </w:r>
      <w:r>
        <w:rPr>
          <w:rStyle w:val="VerbatimChar"/>
        </w:rPr>
        <w:t xml:space="preserve">queue_for_ingest</w:t>
      </w:r>
      <w:r>
        <w:t xml:space="preserve"> </w:t>
      </w:r>
      <w:r>
        <w:t xml:space="preserve">set; all queued, provenance entries created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OCR fidelity</w:t>
      </w:r>
      <w:r>
        <w:t xml:space="preserve"> </w:t>
      </w:r>
      <w:r>
        <w:t xml:space="preserve">- OCR 50 scanned documents; measure character accuracy; provenance links output to source pages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Classification accuracy</w:t>
      </w:r>
      <w:r>
        <w:t xml:space="preserve"> </w:t>
      </w:r>
      <w:r>
        <w:t xml:space="preserve">- vendor evaluation CSV meets precision/recall thresholds for target categories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Review workflow</w:t>
      </w:r>
      <w:r>
        <w:t xml:space="preserve"> </w:t>
      </w:r>
      <w:r>
        <w:t xml:space="preserve">- 200 low-confidence jobs; reviewers resolve 95% in the UI with exportable audit reports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Access-to-information scenario</w:t>
      </w:r>
      <w:r>
        <w:t xml:space="preserve"> </w:t>
      </w:r>
      <w:r>
        <w:t xml:space="preserve">- locate 20 named-record requests within SLA; export the provenance chain for each</w:t>
      </w:r>
    </w:p>
    <w:bookmarkEnd w:id="28"/>
    <w:bookmarkStart w:id="29" w:name="regime-to-control-mapping-checklist"/>
    <w:p>
      <w:pPr>
        <w:pStyle w:val="Heading3"/>
      </w:pPr>
      <w:r>
        <w:t xml:space="preserve">7.4 Regime-to-control mapping checklist</w:t>
      </w:r>
    </w:p>
    <w:p>
      <w:pPr>
        <w:pStyle w:val="FirstParagraph"/>
      </w:pPr>
      <w:r>
        <w:t xml:space="preserve">For each regime in scope, record the obligation and the control it maps to (section 8).</w:t>
      </w:r>
    </w:p>
    <w:p>
      <w:pPr>
        <w:numPr>
          <w:ilvl w:val="0"/>
          <w:numId w:val="1008"/>
        </w:numPr>
        <w:pStyle w:val="Compact"/>
      </w:pPr>
      <w:r>
        <w:t xml:space="preserve">☐ Target jurisdiction(s) identified</w:t>
      </w:r>
    </w:p>
    <w:p>
      <w:pPr>
        <w:numPr>
          <w:ilvl w:val="0"/>
          <w:numId w:val="1008"/>
        </w:numPr>
        <w:pStyle w:val="Compact"/>
      </w:pPr>
      <w:r>
        <w:t xml:space="preserve">☐ Each obligation recorded (processing, retention, access, residency, disclosure)</w:t>
      </w:r>
    </w:p>
    <w:p>
      <w:pPr>
        <w:numPr>
          <w:ilvl w:val="0"/>
          <w:numId w:val="1008"/>
        </w:numPr>
        <w:pStyle w:val="Compact"/>
      </w:pPr>
      <w:r>
        <w:t xml:space="preserve">☐ Each obligation mapped to a</w:t>
      </w:r>
      <w:r>
        <w:t xml:space="preserve"> </w:t>
      </w:r>
      <w:r>
        <w:rPr>
          <w:rStyle w:val="VerbatimChar"/>
        </w:rPr>
        <w:t xml:space="preserve">control_id</w:t>
      </w:r>
      <w:r>
        <w:t xml:space="preserve"> </w:t>
      </w:r>
      <w:r>
        <w:t xml:space="preserve">with recommended configuration</w:t>
      </w:r>
    </w:p>
    <w:p>
      <w:pPr>
        <w:numPr>
          <w:ilvl w:val="0"/>
          <w:numId w:val="1008"/>
        </w:numPr>
        <w:pStyle w:val="Compact"/>
      </w:pPr>
      <w:r>
        <w:t xml:space="preserve">☐ Data residency and cross-border transfer constraints recorded and enforced</w:t>
      </w:r>
    </w:p>
    <w:p>
      <w:pPr>
        <w:numPr>
          <w:ilvl w:val="0"/>
          <w:numId w:val="1008"/>
        </w:numPr>
        <w:pStyle w:val="Compact"/>
      </w:pPr>
      <w:r>
        <w:t xml:space="preserve">☐ DPIAs / risk assessments required where applicable and linked to ingestion</w:t>
      </w:r>
    </w:p>
    <w:p>
      <w:pPr>
        <w:numPr>
          <w:ilvl w:val="0"/>
          <w:numId w:val="1008"/>
        </w:numPr>
        <w:pStyle w:val="Compact"/>
      </w:pPr>
      <w:r>
        <w:t xml:space="preserve">☐ Breach-notification timers and contact roles configured</w:t>
      </w:r>
    </w:p>
    <w:p>
      <w:pPr>
        <w:numPr>
          <w:ilvl w:val="0"/>
          <w:numId w:val="1008"/>
        </w:numPr>
        <w:pStyle w:val="Compact"/>
      </w:pPr>
      <w:r>
        <w:t xml:space="preserve">☐ Vendor contractual requirements (data processing addendum) recorded</w:t>
      </w:r>
    </w:p>
    <w:bookmarkEnd w:id="29"/>
    <w:bookmarkStart w:id="30" w:name="quick-compliance-checklist"/>
    <w:p>
      <w:pPr>
        <w:pStyle w:val="Heading3"/>
      </w:pPr>
      <w:r>
        <w:t xml:space="preserve">7.5 Quick compliance checklist</w:t>
      </w:r>
    </w:p>
    <w:p>
      <w:pPr>
        <w:numPr>
          <w:ilvl w:val="0"/>
          <w:numId w:val="1009"/>
        </w:numPr>
        <w:pStyle w:val="Compact"/>
      </w:pPr>
      <w:r>
        <w:t xml:space="preserve">☐ Every dataset mapped to at least one regime and control</w:t>
      </w:r>
    </w:p>
    <w:p>
      <w:pPr>
        <w:numPr>
          <w:ilvl w:val="0"/>
          <w:numId w:val="1009"/>
        </w:numPr>
        <w:pStyle w:val="Compact"/>
      </w:pPr>
      <w:r>
        <w:t xml:space="preserve">☐ Redaction / release workflow for access-to-information requests, with an auditor role</w:t>
      </w:r>
    </w:p>
    <w:p>
      <w:pPr>
        <w:numPr>
          <w:ilvl w:val="0"/>
          <w:numId w:val="1009"/>
        </w:numPr>
        <w:pStyle w:val="Compact"/>
      </w:pPr>
      <w:r>
        <w:t xml:space="preserve">☐ Lawful-basis recorded per dataset</w:t>
      </w:r>
    </w:p>
    <w:p>
      <w:pPr>
        <w:numPr>
          <w:ilvl w:val="0"/>
          <w:numId w:val="1009"/>
        </w:numPr>
        <w:pStyle w:val="Compact"/>
      </w:pPr>
      <w:r>
        <w:t xml:space="preserve">☐ Append-only, signed audit logs in place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pliance-control-catalog"/>
    <w:p>
      <w:pPr>
        <w:pStyle w:val="Heading2"/>
      </w:pPr>
      <w:r>
        <w:t xml:space="preserve">8. Compliance control catalog</w:t>
      </w:r>
    </w:p>
    <w:p>
      <w:pPr>
        <w:pStyle w:val="FirstParagraph"/>
      </w:pPr>
      <w:r>
        <w:t xml:space="preserve">Vendor- and jurisdiction-agnostic. Regulatory obligations map to controls; controls carry</w:t>
      </w:r>
      <w:r>
        <w:t xml:space="preserve"> </w:t>
      </w:r>
      <w:r>
        <w:t xml:space="preserve">recommended configuration. This catalog is also a live, queryable feature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/admin/privacy/control-catalog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…/control-catalog.json</w:t>
      </w:r>
      <w:r>
        <w:t xml:space="preserve">). Visualise it as</w:t>
      </w:r>
      <w:r>
        <w:t xml:space="preserve"> </w:t>
      </w:r>
      <w:r>
        <w:rPr>
          <w:bCs/>
          <w:b/>
        </w:rPr>
        <w:t xml:space="preserve">Figure 10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C-PRV-01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 &amp; 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lawful_basis per dataset; record RoPA; purpose labels at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C-PRV-02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Rights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subject-request workflow with SLA timers; link to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C-PRV-03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for qualifying datasets; linked to the pipeline; residual-risk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 &amp; Transfer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flag; encrypt in transit/at rest; transfer safeguards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C-ACC-05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Access-to-Information Request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workflow + redaction queue + SLA timers + audit-proof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Data Safeguards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tagging; processor agreements; breach timers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C-GOV-01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Provenance &amp; Model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provenance events; model registry + drift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C-GOV-02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confidence-threshold queues; reviewer roles; recorded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C-AUD-01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Tamper-Evident Audit &amp; Chain-of-Custody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signed log store; chain-of-custody export (METS / bagit)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regime mappings</w:t>
      </w:r>
      <w:r>
        <w:t xml:space="preserve"> </w:t>
      </w:r>
      <w:r>
        <w:t xml:space="preserve">(interchangeable - add your own):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data-protection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 + 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C-PRV-01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data-protection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Data-subject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C-PRV-02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data-protection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transfer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C-RES-02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Access-to-information statute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/ response within statutory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C-ACC-05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Sectoral health-data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Special-category handling +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C-SEC-03</w:t>
            </w:r>
          </w:p>
        </w:tc>
      </w:tr>
    </w:tbl>
    <w:bookmarkEnd w:id="32"/>
    <w:bookmarkStart w:id="33" w:name="metrics-kpis"/>
    <w:p>
      <w:pPr>
        <w:pStyle w:val="Heading2"/>
      </w:pPr>
      <w:r>
        <w:t xml:space="preserve">9. Metrics &amp; KPIs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Classification precision and recall, per file-plan category</w:t>
      </w:r>
      <w:r>
        <w:t xml:space="preserve"> </w:t>
      </w:r>
      <w:r>
        <w:t xml:space="preserve">- precision is how often</w:t>
      </w:r>
      <w:r>
        <w:t xml:space="preserve"> </w:t>
      </w:r>
      <w:r>
        <w:t xml:space="preserve">a category is assigned correctly, recall is how much of each category is actually found;</w:t>
      </w:r>
      <w:r>
        <w:t xml:space="preserve"> </w:t>
      </w:r>
      <w:r>
        <w:t xml:space="preserve">broken down per category so weak spots are visible rather than hidden in an average.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Time-to-discovery</w:t>
      </w:r>
      <w:r>
        <w:t xml:space="preserve"> </w:t>
      </w:r>
      <w:r>
        <w:t xml:space="preserve">- the median time to locate a record, compared before and after the</w:t>
      </w:r>
      <w:r>
        <w:t xml:space="preserve"> </w:t>
      </w:r>
      <w:r>
        <w:t xml:space="preserve">pilot to show the real-world speed gain in plain terms.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Access-to-information response SLA achievement rate</w:t>
      </w:r>
      <w:r>
        <w:t xml:space="preserve"> </w:t>
      </w:r>
      <w:r>
        <w:t xml:space="preserve">- the share of requests answered</w:t>
      </w:r>
      <w:r>
        <w:t xml:space="preserve"> </w:t>
      </w:r>
      <w:r>
        <w:t xml:space="preserve">within their statutory deadline; the headline measure of legal responsiveness.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Review backlog size and reviewer throughput</w:t>
      </w:r>
      <w:r>
        <w:t xml:space="preserve"> </w:t>
      </w:r>
      <w:r>
        <w:t xml:space="preserve">- how much is waiting for human review and</w:t>
      </w:r>
      <w:r>
        <w:t xml:space="preserve"> </w:t>
      </w:r>
      <w:r>
        <w:t xml:space="preserve">how fast reviewers clear it, so the human-in-the-loop step is resourced before it becomes a</w:t>
      </w:r>
      <w:r>
        <w:t xml:space="preserve"> </w:t>
      </w:r>
      <w:r>
        <w:t xml:space="preserve">bottleneck.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 drift indicators and retraining frequency</w:t>
      </w:r>
      <w:r>
        <w:t xml:space="preserve"> </w:t>
      </w:r>
      <w:r>
        <w:t xml:space="preserve">- shifts over time in the data the</w:t>
      </w:r>
      <w:r>
        <w:t xml:space="preserve"> </w:t>
      </w:r>
      <w:r>
        <w:t xml:space="preserve">model sees, and how often retraining is triggered, so accuracy is monitored rather than</w:t>
      </w:r>
      <w:r>
        <w:t xml:space="preserve"> </w:t>
      </w:r>
      <w:r>
        <w:t xml:space="preserve">assumed to hold.</w:t>
      </w:r>
    </w:p>
    <w:bookmarkEnd w:id="33"/>
    <w:bookmarkStart w:id="34" w:name="worked-provenance-json-schema-fragment"/>
    <w:p>
      <w:pPr>
        <w:pStyle w:val="Heading2"/>
      </w:pPr>
      <w:r>
        <w:t xml:space="preserve">10. Worked provenance JSON (schema fragment)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"ingest_timestamp"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"ingested_by"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"uploader-username"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"processing_jobs"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"ocr-uuid"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"tesseract-4.1.1"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"2026-06-20T08:10:00Z"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"layout-aware OCR run"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"ner-uuid"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"ner-archive-v1"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"human_review_required"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"model_registry_id"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"ner-archive-v1"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"inference_config"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"inference_hash"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"human_review"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"reviewer_id"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"review_timestamp"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upporting-reading-the-article-hub"/>
    <w:p>
      <w:pPr>
        <w:pStyle w:val="Heading2"/>
      </w:pPr>
      <w:r>
        <w:t xml:space="preserve">11. Supporting reading (the article hub)</w:t>
      </w:r>
    </w:p>
    <w:p>
      <w:pPr>
        <w:pStyle w:val="FirstParagraph"/>
      </w:pPr>
      <w:r>
        <w:t xml:space="preserve">The published articles are the narrative spokes; this workbook is the hub. Group them</w:t>
      </w:r>
      <w:r>
        <w:t xml:space="preserve"> </w:t>
      </w:r>
      <w:r>
        <w:t xml:space="preserve">into a reading path:</w:t>
      </w:r>
    </w:p>
    <w:p>
      <w:pPr>
        <w:pStyle w:val="BodyText"/>
      </w:pPr>
      <w:r>
        <w:rPr>
          <w:bCs/>
          <w:b/>
        </w:rPr>
        <w:t xml:space="preserve">Why it matters (the problem)</w:t>
      </w:r>
      <w:r>
        <w:t xml:space="preserve"> </w:t>
      </w:r>
      <w:r>
        <w:t xml:space="preserve">- The Crisis of Records Management: From Shared Drives to EDRMS Solutions</w:t>
      </w:r>
      <w:r>
        <w:t xml:space="preserve"> </w:t>
      </w:r>
      <w:r>
        <w:t xml:space="preserve">- How Records Management Lost Its Way in the 90s and 00s</w:t>
      </w:r>
      <w:r>
        <w:t xml:space="preserve"> </w:t>
      </w:r>
      <w:r>
        <w:t xml:space="preserve">- Why Your Fancy Records Management System Sits Empty (And What to Do About It) -</w:t>
      </w:r>
      <w:r>
        <w:t xml:space="preserve"> </w:t>
      </w:r>
      <w:r>
        <w:rPr>
          <w:iCs/>
          <w:i/>
        </w:rPr>
        <w:t xml:space="preserve">carries a tick-sheet</w:t>
      </w:r>
      <w:r>
        <w:t xml:space="preserve"> </w:t>
      </w:r>
      <w:r>
        <w:t xml:space="preserve">- The Digital Preservation Paradox</w:t>
      </w:r>
    </w:p>
    <w:p>
      <w:pPr>
        <w:pStyle w:val="BodyText"/>
      </w:pPr>
      <w:r>
        <w:rPr>
          <w:bCs/>
          <w:b/>
        </w:rPr>
        <w:t xml:space="preserve">The AI approach</w:t>
      </w:r>
      <w:r>
        <w:t xml:space="preserve"> </w:t>
      </w:r>
      <w:r>
        <w:t xml:space="preserve">- Implementing AI in Records Management -</w:t>
      </w:r>
      <w:r>
        <w:t xml:space="preserve"> </w:t>
      </w:r>
      <w:r>
        <w:rPr>
          <w:iCs/>
          <w:i/>
        </w:rPr>
        <w:t xml:space="preserve">carries a template/attachment</w:t>
      </w:r>
      <w:r>
        <w:t xml:space="preserve"> </w:t>
      </w:r>
      <w:r>
        <w:t xml:space="preserve">- AI Records Management: IT Implementation Guide</w:t>
      </w:r>
      <w:r>
        <w:t xml:space="preserve"> </w:t>
      </w:r>
      <w:r>
        <w:t xml:space="preserve">- The LLM Paradox: Why</w:t>
      </w:r>
      <w:r>
        <w:t xml:space="preserve"> </w:t>
      </w:r>
      <w:r>
        <w:t xml:space="preserve">“</w:t>
      </w:r>
      <w:r>
        <w:t xml:space="preserve">What Model Do You Use?</w:t>
      </w:r>
      <w:r>
        <w:t xml:space="preserve">”</w:t>
      </w:r>
      <w:r>
        <w:t xml:space="preserve"> </w:t>
      </w:r>
      <w:r>
        <w:t xml:space="preserve">Is the Wrong First Question</w:t>
      </w:r>
      <w:r>
        <w:t xml:space="preserve"> </w:t>
      </w:r>
      <w:r>
        <w:t xml:space="preserve">- Perfect Is the Enemy of Accessible: Archives in the Age of AI-Assisted Processing</w:t>
      </w:r>
    </w:p>
    <w:p>
      <w:pPr>
        <w:pStyle w:val="BodyText"/>
      </w:pPr>
      <w:r>
        <w:rPr>
          <w:bCs/>
          <w:b/>
        </w:rPr>
        <w:t xml:space="preserve">Trust, governance and compliance</w:t>
      </w:r>
      <w:r>
        <w:t xml:space="preserve"> </w:t>
      </w:r>
      <w:r>
        <w:t xml:space="preserve">- What Proper Authority Resolution Looks Like in Archival AI (→ section 5, Figure 4)</w:t>
      </w:r>
      <w:r>
        <w:t xml:space="preserve"> </w:t>
      </w:r>
      <w:r>
        <w:t xml:space="preserve">- What the EU AI Act Means for Galleries, Libraries, Archives and Museums -</w:t>
      </w:r>
      <w:r>
        <w:t xml:space="preserve"> </w:t>
      </w:r>
      <w:r>
        <w:rPr>
          <w:iCs/>
          <w:i/>
        </w:rPr>
        <w:t xml:space="preserve">carries a tick-sheet</w:t>
      </w:r>
      <w:r>
        <w:t xml:space="preserve"> </w:t>
      </w:r>
      <w:r>
        <w:t xml:space="preserve">(→ section 8)</w:t>
      </w:r>
      <w:r>
        <w:t xml:space="preserve"> </w:t>
      </w:r>
      <w:r>
        <w:t xml:space="preserve">- In 2026, data-protection law stopped moving in one direction (→ section 8)</w:t>
      </w:r>
      <w:r>
        <w:t xml:space="preserve"> </w:t>
      </w:r>
      <w:r>
        <w:t xml:space="preserve">- When the System Goes Silent: An Estimated R5 Million Lesson in IT Disaster Preparedness</w:t>
      </w:r>
    </w:p>
    <w:p>
      <w:pPr>
        <w:pStyle w:val="BodyText"/>
      </w:pPr>
      <w:r>
        <w:rPr>
          <w:bCs/>
          <w:b/>
        </w:rPr>
        <w:t xml:space="preserve">Standards and the future</w:t>
      </w:r>
      <w:r>
        <w:t xml:space="preserve"> </w:t>
      </w:r>
      <w:r>
        <w:t xml:space="preserve">- OpenRiC: An IIIF-Style Contract for Archival Linked Data (→ section 1, standards-aligned)</w:t>
      </w:r>
      <w:r>
        <w:t xml:space="preserve"> </w:t>
      </w:r>
      <w:r>
        <w:t xml:space="preserve">- The Archive of the Future Is Not a Building. It Is Not Even a Database.</w:t>
      </w:r>
      <w:r>
        <w:t xml:space="preserve"> </w:t>
      </w:r>
      <w:r>
        <w:t xml:space="preserve">- A Culture You Can Talk To</w:t>
      </w:r>
    </w:p>
    <w:p>
      <w:pPr>
        <w:pStyle w:val="BodyText"/>
      </w:pPr>
      <w:r>
        <w:rPr>
          <w:bCs/>
          <w:b/>
        </w:rPr>
        <w:t xml:space="preserve">Product</w:t>
      </w:r>
      <w:r>
        <w:t xml:space="preserve"> </w:t>
      </w:r>
      <w:r>
        <w:t xml:space="preserve">- Why Heratio’s Digital Twin Concept Matters for GLAM and Heritage</w:t>
      </w:r>
      <w:r>
        <w:t xml:space="preserve"> </w:t>
      </w:r>
      <w:r>
        <w:t xml:space="preserve">- Your Digital Assets Are More Valuable Than You Think</w:t>
      </w:r>
    </w:p>
    <w:p>
      <w:pPr>
        <w:pStyle w:val="BlockText"/>
      </w:pPr>
      <w:r>
        <w:t xml:space="preserve">Note: where an article already carries a template or tick-sheet, this workbook links to</w:t>
      </w:r>
      <w:r>
        <w:t xml:space="preserve"> </w:t>
      </w:r>
      <w:r>
        <w:t xml:space="preserve">it rather than duplicating it. The workbook’s own tick-sheets (section 7) are the</w:t>
      </w:r>
      <w:r>
        <w:t xml:space="preserve"> </w:t>
      </w:r>
      <w:r>
        <w:t xml:space="preserve">consolidated, jurisdiction-neutral set.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2026-06-21T09:09:17Z</dcterms:created>
  <dcterms:modified xsi:type="dcterms:W3CDTF">2026-06-21T09:09:17Z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