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3EECB" w14:textId="77777777" w:rsidR="004D22B3" w:rsidRPr="0077100A" w:rsidRDefault="004D22B3" w:rsidP="0041035C">
      <w:pPr>
        <w:pStyle w:val="FirstParagraph"/>
        <w:spacing w:line="360" w:lineRule="auto"/>
        <w:jc w:val="center"/>
        <w:rPr>
          <w:b/>
          <w:bCs/>
          <w:sz w:val="32"/>
          <w:szCs w:val="32"/>
          <w:lang w:val="en-ZA"/>
        </w:rPr>
      </w:pPr>
    </w:p>
    <w:p w14:paraId="738E0C6F" w14:textId="77777777" w:rsidR="004D22B3" w:rsidRPr="0077100A" w:rsidRDefault="004D22B3" w:rsidP="0041035C">
      <w:pPr>
        <w:pStyle w:val="FirstParagraph"/>
        <w:spacing w:line="360" w:lineRule="auto"/>
        <w:jc w:val="center"/>
        <w:rPr>
          <w:b/>
          <w:bCs/>
          <w:sz w:val="32"/>
          <w:szCs w:val="32"/>
          <w:lang w:val="en-ZA"/>
        </w:rPr>
      </w:pPr>
    </w:p>
    <w:p w14:paraId="67D8B846" w14:textId="77777777" w:rsidR="004D22B3" w:rsidRPr="0077100A" w:rsidRDefault="004D22B3" w:rsidP="0041035C">
      <w:pPr>
        <w:pStyle w:val="FirstParagraph"/>
        <w:spacing w:line="360" w:lineRule="auto"/>
        <w:jc w:val="center"/>
        <w:rPr>
          <w:b/>
          <w:bCs/>
          <w:sz w:val="32"/>
          <w:szCs w:val="32"/>
          <w:lang w:val="en-ZA"/>
        </w:rPr>
      </w:pPr>
    </w:p>
    <w:p w14:paraId="3DFA3385" w14:textId="77777777" w:rsidR="004D22B3" w:rsidRPr="0077100A" w:rsidRDefault="004D22B3" w:rsidP="0041035C">
      <w:pPr>
        <w:pStyle w:val="FirstParagraph"/>
        <w:spacing w:line="360" w:lineRule="auto"/>
        <w:jc w:val="center"/>
        <w:rPr>
          <w:b/>
          <w:bCs/>
          <w:sz w:val="32"/>
          <w:szCs w:val="32"/>
          <w:lang w:val="en-ZA"/>
        </w:rPr>
      </w:pPr>
    </w:p>
    <w:p w14:paraId="3F5A8D65" w14:textId="77777777" w:rsidR="004D22B3" w:rsidRPr="0077100A" w:rsidRDefault="004D22B3" w:rsidP="0041035C">
      <w:pPr>
        <w:pStyle w:val="FirstParagraph"/>
        <w:spacing w:line="360" w:lineRule="auto"/>
        <w:jc w:val="center"/>
        <w:rPr>
          <w:b/>
          <w:bCs/>
          <w:sz w:val="32"/>
          <w:szCs w:val="32"/>
          <w:lang w:val="en-ZA"/>
        </w:rPr>
      </w:pPr>
    </w:p>
    <w:p w14:paraId="10B11263" w14:textId="77777777" w:rsidR="00BF3265" w:rsidRPr="0077100A" w:rsidRDefault="00BF3265" w:rsidP="0041035C">
      <w:pPr>
        <w:pStyle w:val="BodyText"/>
        <w:spacing w:line="360" w:lineRule="auto"/>
        <w:rPr>
          <w:lang w:val="en-ZA"/>
        </w:rPr>
      </w:pPr>
    </w:p>
    <w:p w14:paraId="4DAEA8C2" w14:textId="77777777" w:rsidR="00BF3265" w:rsidRPr="0077100A" w:rsidRDefault="00BF3265" w:rsidP="0041035C">
      <w:pPr>
        <w:pStyle w:val="BodyText"/>
        <w:spacing w:line="360" w:lineRule="auto"/>
        <w:rPr>
          <w:lang w:val="en-ZA"/>
        </w:rPr>
      </w:pPr>
    </w:p>
    <w:p w14:paraId="22035200" w14:textId="0E8873ED" w:rsidR="005C044A" w:rsidRPr="0077100A" w:rsidRDefault="00000000" w:rsidP="0041035C">
      <w:pPr>
        <w:pStyle w:val="Title"/>
        <w:spacing w:line="360" w:lineRule="auto"/>
        <w:jc w:val="center"/>
        <w:rPr>
          <w:b/>
          <w:bCs/>
          <w:sz w:val="32"/>
          <w:szCs w:val="32"/>
          <w:lang w:val="en-ZA"/>
        </w:rPr>
      </w:pPr>
      <w:r w:rsidRPr="0077100A">
        <w:rPr>
          <w:b/>
          <w:bCs/>
          <w:sz w:val="32"/>
          <w:szCs w:val="32"/>
          <w:lang w:val="en-ZA"/>
        </w:rPr>
        <w:t>Industry Framework</w:t>
      </w:r>
      <w:r w:rsidR="004D22B3" w:rsidRPr="0077100A">
        <w:rPr>
          <w:b/>
          <w:bCs/>
          <w:sz w:val="32"/>
          <w:szCs w:val="32"/>
          <w:lang w:val="en-ZA"/>
        </w:rPr>
        <w:t>:</w:t>
      </w:r>
      <w:r w:rsidRPr="0077100A">
        <w:rPr>
          <w:b/>
          <w:bCs/>
          <w:sz w:val="32"/>
          <w:szCs w:val="32"/>
          <w:lang w:val="en-ZA"/>
        </w:rPr>
        <w:t xml:space="preserve"> AI for Records</w:t>
      </w:r>
      <w:r w:rsidR="00AD22DC">
        <w:rPr>
          <w:b/>
          <w:bCs/>
          <w:sz w:val="32"/>
          <w:szCs w:val="32"/>
          <w:lang w:val="en-ZA"/>
        </w:rPr>
        <w:t>/Archives</w:t>
      </w:r>
      <w:r w:rsidRPr="0077100A">
        <w:rPr>
          <w:b/>
          <w:bCs/>
          <w:sz w:val="32"/>
          <w:szCs w:val="32"/>
          <w:lang w:val="en-ZA"/>
        </w:rPr>
        <w:t xml:space="preserve"> Management</w:t>
      </w:r>
    </w:p>
    <w:p w14:paraId="589509B1" w14:textId="77777777" w:rsidR="004D22B3" w:rsidRPr="0077100A" w:rsidRDefault="004D22B3" w:rsidP="0041035C">
      <w:pPr>
        <w:pStyle w:val="BodyText"/>
        <w:spacing w:line="360" w:lineRule="auto"/>
        <w:jc w:val="both"/>
        <w:rPr>
          <w:lang w:val="en-ZA"/>
        </w:rPr>
      </w:pPr>
    </w:p>
    <w:p w14:paraId="79AB22EC" w14:textId="1A6B2E79" w:rsidR="00BF3265" w:rsidRPr="0077100A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Author: Johannes J. Pieterse</w:t>
      </w:r>
    </w:p>
    <w:p w14:paraId="746D9C58" w14:textId="408CEE9F" w:rsidR="005C044A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Date: 2026-06-20</w:t>
      </w:r>
    </w:p>
    <w:p>
      <w:pPr>
        <w:pStyle w:val="BodyText"/>
      </w:pPr>
      <w:r>
        <w:rPr>
          <w:rFonts w:ascii="Arial" w:hAnsi="Arial"/>
          <w:b/>
          <w:sz w:val="32"/>
        </w:rPr>
        <w:t xml:space="preserve">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 xml:space="preserve">Right-click this line and choose "Update Field" to build the table of contents.</w:t>
      </w:r>
      <w:r>
        <w:fldChar w:fldCharType="end"/>
      </w:r>
    </w:p>
    <w:p w14:paraId="719F88DC" w14:textId="77777777" w:rsidR="00C22583" w:rsidRPr="00C22583" w:rsidRDefault="00C22583" w:rsidP="0041035C">
      <w:pPr>
        <w:pStyle w:val="Heading1"/>
        <w:spacing w:line="360" w:lineRule="auto"/>
        <w:jc w:val="both"/>
        <w:rPr>
          <w:b/>
          <w:bCs/>
          <w:lang w:val="en-ZA"/>
        </w:rPr>
      </w:pPr>
      <w:r w:rsidRPr="00C22583">
        <w:rPr>
          <w:b/>
          <w:bCs/>
          <w:lang w:val="en-ZA"/>
        </w:rPr>
        <w:t>Authorship and usage</w:t>
      </w:r>
    </w:p>
    <w:p w14:paraId="10524873" w14:textId="77777777" w:rsidR="00C22583" w:rsidRPr="0077100A" w:rsidRDefault="00C22583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This document is an industry-facing extraction and enhancement of the framework described in the PhD thesis of Johannes J. Pieterse. Use it as a procurement brief, pilot plan, or governance artefact. For publication-ready use, replace pilot numbers, organisational names and metrics with concrete pilot outputs and signed governance artefacts.</w:t>
      </w:r>
    </w:p>
    <w:p w14:paraId="52D5DD81" w14:textId="77777777" w:rsidR="00C22583" w:rsidRPr="0077100A" w:rsidRDefault="00C22583" w:rsidP="0041035C">
      <w:pPr>
        <w:pStyle w:val="BodyText"/>
        <w:spacing w:line="360" w:lineRule="auto"/>
        <w:jc w:val="both"/>
        <w:rPr>
          <w:lang w:val="en-ZA"/>
        </w:rPr>
      </w:pPr>
    </w:p>
    <w:p w14:paraId="66A916CB" w14:textId="77777777" w:rsidR="004D22B3" w:rsidRPr="0077100A" w:rsidRDefault="004D22B3" w:rsidP="0041035C">
      <w:pPr>
        <w:spacing w:line="360" w:lineRule="auto"/>
        <w:rPr>
          <w:b/>
          <w:bCs/>
          <w:lang w:val="en-ZA"/>
        </w:rPr>
      </w:pPr>
      <w:r w:rsidRPr="0077100A">
        <w:rPr>
          <w:b/>
          <w:bCs/>
          <w:lang w:val="en-ZA"/>
        </w:rPr>
        <w:br w:type="page"/>
      </w:r>
    </w:p>
    <w:p w14:paraId="2C13CDB6" w14:textId="0FEF33F6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lastRenderedPageBreak/>
        <w:t>Executive summary</w:t>
      </w:r>
    </w:p>
    <w:p>
      <w:r>
        <w:rPr>
          <w:i/>
          <w:sz w:val="18"/>
        </w:rPr>
        <w:t>[ Figure 1 - The problem and the outcome (conceptual) : insert diagram here. See 'Recommended diagrams' annex. ]</w:t>
      </w:r>
    </w:p>
    <w:p w14:paraId="515F94EB" w14:textId="77777777" w:rsidR="00C22583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This document extracts the framework presented in the thesis “Utilising Artificial Intelligence to Enhance Records Accessibility within a State-Owned Company in South Africa” and reframes it as a practical, industry-facing framework aimed at records professionals, IT leads and procurement teams. It is non-academic in tone, implementation oriented, and designed to be usable as: </w:t>
      </w:r>
    </w:p>
    <w:p w14:paraId="7D4696F6" w14:textId="67F2B62D" w:rsidR="00C22583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(a) an internal business-case and requirements brief</w:t>
      </w:r>
      <w:r w:rsidR="00C22583">
        <w:rPr>
          <w:lang w:val="en-ZA"/>
        </w:rPr>
        <w:t>;</w:t>
      </w:r>
    </w:p>
    <w:p w14:paraId="436EE1DC" w14:textId="73E9CD0E" w:rsidR="00C22583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(b) an RFP / procurement annex</w:t>
      </w:r>
      <w:r w:rsidR="00C22583">
        <w:rPr>
          <w:lang w:val="en-ZA"/>
        </w:rPr>
        <w:t>;</w:t>
      </w:r>
      <w:r w:rsidRPr="0077100A">
        <w:rPr>
          <w:lang w:val="en-ZA"/>
        </w:rPr>
        <w:t xml:space="preserve"> and </w:t>
      </w:r>
    </w:p>
    <w:p w14:paraId="0EC78EC5" w14:textId="181A48FD" w:rsidR="005C044A" w:rsidRPr="0077100A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(c) an operational implementation checklist for pilot and rollout.</w:t>
      </w:r>
    </w:p>
    <w:p w14:paraId="4F6B768E" w14:textId="77777777" w:rsidR="00FD4EE9" w:rsidRPr="0077100A" w:rsidRDefault="00FD4EE9" w:rsidP="0041035C">
      <w:pPr>
        <w:pStyle w:val="BodyText"/>
        <w:spacing w:line="360" w:lineRule="auto"/>
        <w:jc w:val="both"/>
        <w:rPr>
          <w:lang w:val="en-ZA"/>
        </w:rPr>
      </w:pPr>
    </w:p>
    <w:p w14:paraId="18BCD244" w14:textId="77777777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t>Purpose and scope</w:t>
      </w:r>
    </w:p>
    <w:p w14:paraId="1EDB451C" w14:textId="528DA1B0" w:rsidR="005C044A" w:rsidRPr="0077100A" w:rsidRDefault="00000000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Purpose:</w:t>
      </w:r>
      <w:r w:rsidRPr="0077100A">
        <w:rPr>
          <w:lang w:val="en-ZA"/>
        </w:rPr>
        <w:t xml:space="preserve"> Provide a concise, actionable framework for introducing AI/ML capabilities into records management for large-scale unstructured estates (shared drives, network </w:t>
      </w:r>
      <w:r w:rsidR="0041035C" w:rsidRPr="0077100A">
        <w:rPr>
          <w:lang w:val="en-ZA"/>
        </w:rPr>
        <w:t>file shares</w:t>
      </w:r>
      <w:r w:rsidRPr="0077100A">
        <w:rPr>
          <w:lang w:val="en-ZA"/>
        </w:rPr>
        <w:t>, email stores), with an emphasis on governance, privacy and data-protection compliance, legal defensibility (access-to-information laws and national archival statutes), and operational adoption. This framework is written for an international audience and is vendor- and jurisdiction-agnostic.</w:t>
      </w:r>
    </w:p>
    <w:p w14:paraId="5CF704CF" w14:textId="77777777" w:rsidR="005C044A" w:rsidRPr="0077100A" w:rsidRDefault="00000000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Scope:</w:t>
      </w:r>
      <w:r w:rsidRPr="0077100A">
        <w:rPr>
          <w:lang w:val="en-ZA"/>
        </w:rPr>
        <w:t xml:space="preserve"> Practical discovery, OCR/NER provenance, classification, sensitivity detection, human-in-the-loop review, provenance capture, model governance, and phased implementation. Technology-agnostic; maps to common cloud and on-prem stacks.</w:t>
      </w:r>
    </w:p>
    <w:p w14:paraId="28EC66E8" w14:textId="77777777" w:rsidR="00FD4EE9" w:rsidRPr="0077100A" w:rsidRDefault="00FD4EE9" w:rsidP="0041035C">
      <w:pPr>
        <w:pStyle w:val="Compact"/>
        <w:spacing w:line="360" w:lineRule="auto"/>
        <w:ind w:left="720"/>
        <w:jc w:val="both"/>
        <w:rPr>
          <w:lang w:val="en-ZA"/>
        </w:rPr>
      </w:pPr>
    </w:p>
    <w:p w14:paraId="0B80578A" w14:textId="77777777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t>Core principles</w:t>
      </w:r>
    </w:p>
    <w:p w14:paraId="55AAF08B" w14:textId="77777777" w:rsidR="005C044A" w:rsidRPr="0077100A" w:rsidRDefault="00000000" w:rsidP="0041035C">
      <w:pPr>
        <w:pStyle w:val="Compact"/>
        <w:numPr>
          <w:ilvl w:val="0"/>
          <w:numId w:val="3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Provenance-first:</w:t>
      </w:r>
      <w:r w:rsidRPr="0077100A">
        <w:rPr>
          <w:lang w:val="en-ZA"/>
        </w:rPr>
        <w:t xml:space="preserve"> Every AI-derived assertion must be accompanied by machine-readable provenance (what, who/what ran it, when, which model/version, configuration and confidence).</w:t>
      </w:r>
    </w:p>
    <w:p w14:paraId="19DAF32B" w14:textId="4180F300" w:rsidR="005C044A" w:rsidRPr="0077100A" w:rsidRDefault="00000000" w:rsidP="0041035C">
      <w:pPr>
        <w:pStyle w:val="Compact"/>
        <w:numPr>
          <w:ilvl w:val="0"/>
          <w:numId w:val="3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lastRenderedPageBreak/>
        <w:t>Privacy-by-design:</w:t>
      </w:r>
      <w:r w:rsidRPr="0077100A">
        <w:rPr>
          <w:lang w:val="en-ZA"/>
        </w:rPr>
        <w:t xml:space="preserve"> Detect and protect PII early; record lawful-basis decisions; restrict </w:t>
      </w:r>
      <w:r w:rsidR="004D22B3" w:rsidRPr="0077100A">
        <w:rPr>
          <w:lang w:val="en-ZA"/>
        </w:rPr>
        <w:t>output</w:t>
      </w:r>
      <w:r w:rsidRPr="0077100A">
        <w:rPr>
          <w:lang w:val="en-ZA"/>
        </w:rPr>
        <w:t xml:space="preserve"> accordingly.</w:t>
      </w:r>
    </w:p>
    <w:p w14:paraId="7FAF76F5" w14:textId="77777777" w:rsidR="005C044A" w:rsidRPr="0077100A" w:rsidRDefault="00000000" w:rsidP="0041035C">
      <w:pPr>
        <w:pStyle w:val="Compact"/>
        <w:numPr>
          <w:ilvl w:val="0"/>
          <w:numId w:val="3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Human-in-the-loop:</w:t>
      </w:r>
      <w:r w:rsidRPr="0077100A">
        <w:rPr>
          <w:lang w:val="en-ZA"/>
        </w:rPr>
        <w:t xml:space="preserve"> High-risk actions (disposal, transfer, sensitive access) require human validation. AI is an assistant, not an arbiter.</w:t>
      </w:r>
    </w:p>
    <w:p w14:paraId="09739A01" w14:textId="77777777" w:rsidR="005C044A" w:rsidRPr="0077100A" w:rsidRDefault="00000000" w:rsidP="0041035C">
      <w:pPr>
        <w:pStyle w:val="Compact"/>
        <w:numPr>
          <w:ilvl w:val="0"/>
          <w:numId w:val="3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Standards-aligned:</w:t>
      </w:r>
      <w:r w:rsidRPr="0077100A">
        <w:rPr>
          <w:lang w:val="en-ZA"/>
        </w:rPr>
        <w:t xml:space="preserve"> Map to applicable national data-protection and access-to-information laws (for example GDPR or FOIA-style statutes), national archival legislation, and ISO standards such as ISO 15489 / 23081 / 16175 / 30301 / ISO/IEC 23894 / 42001 to make outputs auditable across jurisdictions.</w:t>
      </w:r>
    </w:p>
    <w:p w14:paraId="32E7DBBA" w14:textId="77777777" w:rsidR="005C044A" w:rsidRPr="0077100A" w:rsidRDefault="00000000" w:rsidP="0041035C">
      <w:pPr>
        <w:pStyle w:val="Compact"/>
        <w:numPr>
          <w:ilvl w:val="0"/>
          <w:numId w:val="3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Phased and measurable adoption:</w:t>
      </w:r>
      <w:r w:rsidRPr="0077100A">
        <w:rPr>
          <w:lang w:val="en-ZA"/>
        </w:rPr>
        <w:t xml:space="preserve"> Start with pilots, canary deployments and measurable KPIs (precision/recall, time-to-discovery, access-to-information response SLA compliance).</w:t>
      </w:r>
    </w:p>
    <w:p w14:paraId="39789B70" w14:textId="77777777" w:rsidR="00FD4EE9" w:rsidRPr="0077100A" w:rsidRDefault="00FD4EE9" w:rsidP="0041035C">
      <w:pPr>
        <w:pStyle w:val="Compact"/>
        <w:spacing w:line="360" w:lineRule="auto"/>
        <w:ind w:left="720"/>
        <w:jc w:val="both"/>
        <w:rPr>
          <w:lang w:val="en-ZA"/>
        </w:rPr>
      </w:pPr>
    </w:p>
    <w:p w14:paraId="03E52D5D" w14:textId="77777777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t>Architecture (industry view)</w:t>
      </w:r>
    </w:p>
    <w:p>
      <w:r>
        <w:rPr>
          <w:i/>
          <w:sz w:val="18"/>
        </w:rPr>
        <w:t>[ Figure 2 - Layered reference architecture : insert diagram here. See 'Recommended diagrams' annex. ]</w:t>
      </w:r>
    </w:p>
    <w:p w14:paraId="0A0A0482" w14:textId="77777777" w:rsidR="005C044A" w:rsidRPr="0077100A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Layered, minimal-dependence architecture suitable for hybrid deployments:</w:t>
      </w:r>
    </w:p>
    <w:p w14:paraId="3D5B99C9" w14:textId="77777777" w:rsidR="005C044A" w:rsidRPr="0077100A" w:rsidRDefault="00000000" w:rsidP="0041035C">
      <w:pPr>
        <w:pStyle w:val="Compact"/>
        <w:numPr>
          <w:ilvl w:val="0"/>
          <w:numId w:val="4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Regulatory &amp; policy layer:</w:t>
      </w:r>
      <w:r w:rsidRPr="0077100A">
        <w:rPr>
          <w:lang w:val="en-ZA"/>
        </w:rPr>
        <w:t xml:space="preserve"> Legal obligations, file-plan, retention authorities, data-classification policy, authorised roles.</w:t>
      </w:r>
    </w:p>
    <w:p w14:paraId="7E279473" w14:textId="77777777" w:rsidR="005C044A" w:rsidRPr="0077100A" w:rsidRDefault="00000000" w:rsidP="0041035C">
      <w:pPr>
        <w:pStyle w:val="Compact"/>
        <w:numPr>
          <w:ilvl w:val="0"/>
          <w:numId w:val="4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Governance layer:</w:t>
      </w:r>
      <w:r w:rsidRPr="0077100A">
        <w:rPr>
          <w:lang w:val="en-ZA"/>
        </w:rPr>
        <w:t xml:space="preserve"> AI Governance Committee, risk register, review procedures, model registry and performance gates.</w:t>
      </w:r>
    </w:p>
    <w:p w14:paraId="4F76F736" w14:textId="77777777" w:rsidR="005C044A" w:rsidRPr="0077100A" w:rsidRDefault="00000000" w:rsidP="0041035C">
      <w:pPr>
        <w:pStyle w:val="Compact"/>
        <w:numPr>
          <w:ilvl w:val="0"/>
          <w:numId w:val="4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Ingest &amp; provenance layer:</w:t>
      </w:r>
      <w:r w:rsidRPr="0077100A">
        <w:rPr>
          <w:lang w:val="en-ZA"/>
        </w:rPr>
        <w:t xml:space="preserve"> Crawlers, snapshot store (file hash + URI), OCR pipeline, token-level provenance capture, ingest manifest and tick-box for uploader-triggered ingestion.</w:t>
      </w:r>
    </w:p>
    <w:p w14:paraId="21F6C123" w14:textId="77777777" w:rsidR="005C044A" w:rsidRPr="0077100A" w:rsidRDefault="00000000" w:rsidP="0041035C">
      <w:pPr>
        <w:pStyle w:val="Compact"/>
        <w:numPr>
          <w:ilvl w:val="0"/>
          <w:numId w:val="4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Intelligence layer:</w:t>
      </w:r>
      <w:r w:rsidRPr="0077100A">
        <w:rPr>
          <w:lang w:val="en-ZA"/>
        </w:rPr>
        <w:t xml:space="preserve"> NER/entity extraction, classification models, sensitivity detectors, deduplication and de-duplication engines, embeddings/semantic search indices and model-serving infrastructure.</w:t>
      </w:r>
    </w:p>
    <w:p w14:paraId="125C327C" w14:textId="77777777" w:rsidR="005C044A" w:rsidRPr="0077100A" w:rsidRDefault="00000000" w:rsidP="0041035C">
      <w:pPr>
        <w:pStyle w:val="Compact"/>
        <w:numPr>
          <w:ilvl w:val="0"/>
          <w:numId w:val="4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 xml:space="preserve">Control &amp; lifecycle layer: </w:t>
      </w:r>
      <w:r w:rsidRPr="0077100A">
        <w:rPr>
          <w:lang w:val="en-ZA"/>
        </w:rPr>
        <w:t>ECM / EDRMS integration, retention rule enforcement (human-acknowledged), secure archival transfer, ACLs.</w:t>
      </w:r>
    </w:p>
    <w:p w14:paraId="76097F8F" w14:textId="77777777" w:rsidR="005C044A" w:rsidRPr="0077100A" w:rsidRDefault="00000000" w:rsidP="0041035C">
      <w:pPr>
        <w:pStyle w:val="Compact"/>
        <w:numPr>
          <w:ilvl w:val="0"/>
          <w:numId w:val="4"/>
        </w:numPr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Human UX &amp; review layer:</w:t>
      </w:r>
      <w:r w:rsidRPr="0077100A">
        <w:rPr>
          <w:lang w:val="en-ZA"/>
        </w:rPr>
        <w:t xml:space="preserve"> Provenance timeline, diff viewer, review queues, bulk review tooling and audit exports.</w:t>
      </w:r>
    </w:p>
    <w:p w14:paraId="28810E18" w14:textId="77777777" w:rsidR="00FD4EE9" w:rsidRPr="0077100A" w:rsidRDefault="00FD4EE9" w:rsidP="0041035C">
      <w:pPr>
        <w:pStyle w:val="Compact"/>
        <w:spacing w:line="360" w:lineRule="auto"/>
        <w:ind w:left="720"/>
        <w:jc w:val="both"/>
        <w:rPr>
          <w:lang w:val="en-ZA"/>
        </w:rPr>
      </w:pPr>
    </w:p>
    <w:p w14:paraId="656F79D9" w14:textId="77777777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t>Key components and capabilities</w:t>
      </w:r>
    </w:p>
    <w:p>
      <w:r>
        <w:rPr>
          <w:i/>
          <w:sz w:val="18"/>
        </w:rPr>
        <w:t>[ Figure 3 - Ingest-to-access pipeline : insert diagram here. See 'Recommended diagrams' annex. ]</w:t>
      </w:r>
    </w:p>
    <w:p w14:paraId="00A25F10" w14:textId="77777777" w:rsidR="005C044A" w:rsidRPr="0077100A" w:rsidRDefault="00000000" w:rsidP="0041035C">
      <w:pPr>
        <w:pStyle w:val="Heading2"/>
        <w:numPr>
          <w:ilvl w:val="0"/>
          <w:numId w:val="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Crawler &amp; Ingest</w:t>
      </w:r>
    </w:p>
    <w:p w14:paraId="7025AB7F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Read-only, least-privilege crawler with incremental scanning.</w:t>
      </w:r>
    </w:p>
    <w:p w14:paraId="70311A4D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Ingest queue with uploader tick-box (queue_for_ingest).</w:t>
      </w:r>
    </w:p>
    <w:p w14:paraId="26CAE865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Snapshot store: file hash + object-store URI for reproducibility.</w:t>
      </w:r>
    </w:p>
    <w:p w14:paraId="51423E3C" w14:textId="77777777" w:rsidR="005C044A" w:rsidRPr="0077100A" w:rsidRDefault="00000000" w:rsidP="0041035C">
      <w:pPr>
        <w:pStyle w:val="Heading2"/>
        <w:numPr>
          <w:ilvl w:val="0"/>
          <w:numId w:val="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OCR &amp; Text Extraction</w:t>
      </w:r>
    </w:p>
    <w:p w14:paraId="755A71F0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Layout-aware OCR with page/offset provenance.</w:t>
      </w:r>
    </w:p>
    <w:p w14:paraId="29D204D7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Store raw OCR outputs as first-class artefacts; do not overwrite originals.</w:t>
      </w:r>
    </w:p>
    <w:p w14:paraId="7910814C" w14:textId="77777777" w:rsidR="005C044A" w:rsidRPr="0077100A" w:rsidRDefault="00000000" w:rsidP="0041035C">
      <w:pPr>
        <w:pStyle w:val="Heading2"/>
        <w:numPr>
          <w:ilvl w:val="0"/>
          <w:numId w:val="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NER / Classification</w:t>
      </w:r>
    </w:p>
    <w:p w14:paraId="093D2E9C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Organisationally-trained classifiers and NER tuned to local file plans and terminology.</w:t>
      </w:r>
    </w:p>
    <w:p w14:paraId="0B31BCAA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Confidence thresholds drive review/workflow paths.</w:t>
      </w:r>
    </w:p>
    <w:p w14:paraId="0E1F7CC2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Model registry records training data provenance, evaluation sets, and metrics.</w:t>
      </w:r>
    </w:p>
    <w:p w14:paraId="6901DE63" w14:textId="77777777" w:rsidR="005C044A" w:rsidRPr="0077100A" w:rsidRDefault="00000000" w:rsidP="0041035C">
      <w:pPr>
        <w:pStyle w:val="Heading2"/>
        <w:numPr>
          <w:ilvl w:val="0"/>
          <w:numId w:val="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Sensitivity Detection &amp; Privacy</w:t>
      </w:r>
    </w:p>
    <w:p w14:paraId="07BD79D9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PII detectors (name/ID/health/financial markers) early in pipeline.</w:t>
      </w:r>
    </w:p>
    <w:p w14:paraId="0AF8334E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Policy-driven redaction/limited-indexing options.</w:t>
      </w:r>
    </w:p>
    <w:p w14:paraId="6ED4F706" w14:textId="77777777" w:rsidR="005C044A" w:rsidRPr="0077100A" w:rsidRDefault="00000000" w:rsidP="0041035C">
      <w:pPr>
        <w:pStyle w:val="Heading2"/>
        <w:numPr>
          <w:ilvl w:val="0"/>
          <w:numId w:val="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Provenance Store &amp; Event Sourcing</w:t>
      </w:r>
    </w:p>
    <w:p w14:paraId="7B158A27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Append-only provenance events (processing_jobs, review events, policy decisions) stored in JSONB for audit and replay.</w:t>
      </w:r>
    </w:p>
    <w:p w14:paraId="0461E671" w14:textId="77777777" w:rsidR="005C044A" w:rsidRPr="0077100A" w:rsidRDefault="00000000" w:rsidP="0041035C">
      <w:pPr>
        <w:pStyle w:val="Heading2"/>
        <w:numPr>
          <w:ilvl w:val="0"/>
          <w:numId w:val="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Human Review &amp; Workflows</w:t>
      </w:r>
    </w:p>
    <w:p w14:paraId="3AD242A9" w14:textId="4969D38E" w:rsidR="005C044A" w:rsidRPr="0077100A" w:rsidRDefault="0041035C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Low confidence/high-risk items surfaced for curator review.</w:t>
      </w:r>
    </w:p>
    <w:p w14:paraId="2F541D6B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Diff viewer showing raw -&gt; canonical text and reviewer edits.</w:t>
      </w:r>
    </w:p>
    <w:p w14:paraId="48F96B69" w14:textId="77777777" w:rsidR="005C044A" w:rsidRPr="0077100A" w:rsidRDefault="00000000" w:rsidP="0041035C">
      <w:pPr>
        <w:pStyle w:val="Heading2"/>
        <w:numPr>
          <w:ilvl w:val="0"/>
          <w:numId w:val="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APIs &amp; Integration</w:t>
      </w:r>
    </w:p>
    <w:p w14:paraId="239A774F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POST /api/ingest (queue_for_ingest, metadata)</w:t>
      </w:r>
    </w:p>
    <w:p w14:paraId="77DFD535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GET /api/provenance/:record_id</w:t>
      </w:r>
    </w:p>
    <w:p w14:paraId="61034558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POST /api/review/:job_id/decision</w:t>
      </w:r>
    </w:p>
    <w:p w14:paraId="55881ACF" w14:textId="77777777" w:rsidR="005C044A" w:rsidRPr="0077100A" w:rsidRDefault="00000000" w:rsidP="0041035C">
      <w:pPr>
        <w:pStyle w:val="Compact"/>
        <w:numPr>
          <w:ilvl w:val="1"/>
          <w:numId w:val="2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lastRenderedPageBreak/>
        <w:t>Integration adapters: AtoM, SharePoint/Teams, M-Files, OpenText, existing ECM/EDRMS connectors.</w:t>
      </w:r>
    </w:p>
    <w:p w14:paraId="0A147E95" w14:textId="77777777" w:rsidR="00FD4EE9" w:rsidRPr="0077100A" w:rsidRDefault="00FD4EE9" w:rsidP="0041035C">
      <w:pPr>
        <w:pStyle w:val="Compact"/>
        <w:spacing w:line="360" w:lineRule="auto"/>
        <w:ind w:left="1440"/>
        <w:jc w:val="both"/>
        <w:rPr>
          <w:lang w:val="en-ZA"/>
        </w:rPr>
      </w:pPr>
    </w:p>
    <w:p w14:paraId="617948DF" w14:textId="77777777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t>Governance &amp; roles</w:t>
      </w:r>
    </w:p>
    <w:p>
      <w:r>
        <w:rPr>
          <w:i/>
          <w:sz w:val="18"/>
        </w:rPr>
        <w:t>[ Figure 6 - Governance roles and decision gates : insert diagram here. See 'Recommended diagrams' annex. ]</w:t>
      </w:r>
    </w:p>
    <w:p w14:paraId="04ED6C68" w14:textId="77777777" w:rsidR="005C044A" w:rsidRPr="0077100A" w:rsidRDefault="00000000" w:rsidP="0041035C">
      <w:pPr>
        <w:pStyle w:val="Compact"/>
        <w:numPr>
          <w:ilvl w:val="0"/>
          <w:numId w:val="13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AI Governance Committee: Records Manager, Legal, IT/Security, Risk, and Business Unit representative. Approves models for production, reviews bias/drift and signs off phase gates.</w:t>
      </w:r>
    </w:p>
    <w:p w14:paraId="236479A5" w14:textId="77777777" w:rsidR="005C044A" w:rsidRPr="0077100A" w:rsidRDefault="00000000" w:rsidP="0041035C">
      <w:pPr>
        <w:pStyle w:val="Compact"/>
        <w:numPr>
          <w:ilvl w:val="0"/>
          <w:numId w:val="13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Model Owner / Data Steward: Responsible for dataset curation, maintaining labelled evaluation sets and monitoring performance.</w:t>
      </w:r>
    </w:p>
    <w:p w14:paraId="609B7AB1" w14:textId="77777777" w:rsidR="005C044A" w:rsidRPr="0077100A" w:rsidRDefault="00000000" w:rsidP="0041035C">
      <w:pPr>
        <w:pStyle w:val="Compact"/>
        <w:numPr>
          <w:ilvl w:val="0"/>
          <w:numId w:val="13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Reviewers / Curators: Records staff empowered to resolve review queues and to authoritatively approve retention and archival transfers.</w:t>
      </w:r>
    </w:p>
    <w:p w14:paraId="47BECAA4" w14:textId="77777777" w:rsidR="005C044A" w:rsidRPr="0077100A" w:rsidRDefault="00000000" w:rsidP="0041035C">
      <w:pPr>
        <w:pStyle w:val="Compact"/>
        <w:numPr>
          <w:ilvl w:val="0"/>
          <w:numId w:val="13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Platform Ops / SRE: Manages model serving, scaling, backups and incident response.</w:t>
      </w:r>
    </w:p>
    <w:p w14:paraId="6ACADBA8" w14:textId="77777777" w:rsidR="00FD4EE9" w:rsidRPr="0077100A" w:rsidRDefault="00FD4EE9" w:rsidP="0041035C">
      <w:pPr>
        <w:pStyle w:val="Compact"/>
        <w:spacing w:line="360" w:lineRule="auto"/>
        <w:ind w:left="720"/>
        <w:jc w:val="both"/>
        <w:rPr>
          <w:lang w:val="en-ZA"/>
        </w:rPr>
      </w:pPr>
    </w:p>
    <w:p w14:paraId="7D70D675" w14:textId="77777777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t>Implementation roadmap (MVP → Production)</w:t>
      </w:r>
    </w:p>
    <w:p>
      <w:r>
        <w:rPr>
          <w:i/>
          <w:sz w:val="18"/>
        </w:rPr>
        <w:t>[ Figure 7 - Phased implementation roadmap : insert diagram here. See 'Recommended diagrams' annex. ]</w:t>
      </w:r>
    </w:p>
    <w:p w14:paraId="6CE04162" w14:textId="6541810C" w:rsidR="005C044A" w:rsidRPr="0077100A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Phase 0</w:t>
      </w:r>
      <w:r w:rsidR="00296381" w:rsidRPr="0077100A">
        <w:rPr>
          <w:b/>
          <w:bCs/>
          <w:lang w:val="en-ZA"/>
        </w:rPr>
        <w:t>:</w:t>
      </w:r>
      <w:r w:rsidRPr="0077100A">
        <w:rPr>
          <w:lang w:val="en-ZA"/>
        </w:rPr>
        <w:t xml:space="preserve"> Preparation (0–2 months) - Establish governance committee; agree KPIs and success thresholds. - Conduct a focused content inventory and identify pilot corpus. - Define file plan mapping and retention categories.</w:t>
      </w:r>
    </w:p>
    <w:p w14:paraId="7239489B" w14:textId="38EC7F3C" w:rsidR="005C044A" w:rsidRPr="0077100A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Phase 1</w:t>
      </w:r>
      <w:r w:rsidR="00296381" w:rsidRPr="0077100A">
        <w:rPr>
          <w:b/>
          <w:bCs/>
          <w:lang w:val="en-ZA"/>
        </w:rPr>
        <w:t>:</w:t>
      </w:r>
      <w:r w:rsidRPr="0077100A">
        <w:rPr>
          <w:lang w:val="en-ZA"/>
        </w:rPr>
        <w:t xml:space="preserve"> Pilot MVP (2–6 months) - Deploy crawler + OCR + NER on pilot corpus. - Implement ingest tick-box UI, provenance capture and minimal review queue. - Validate with human-in-the-loop, collect precision/recall metrics.</w:t>
      </w:r>
    </w:p>
    <w:p w14:paraId="1AA353D4" w14:textId="38EA797F" w:rsidR="005C044A" w:rsidRPr="0077100A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Phase 2</w:t>
      </w:r>
      <w:r w:rsidR="00296381" w:rsidRPr="0077100A">
        <w:rPr>
          <w:b/>
          <w:bCs/>
          <w:lang w:val="en-ZA"/>
        </w:rPr>
        <w:t>:</w:t>
      </w:r>
      <w:r w:rsidRPr="0077100A">
        <w:rPr>
          <w:lang w:val="en-ZA"/>
        </w:rPr>
        <w:t xml:space="preserve"> Operationalise (6–12 months) - Integrate with ECM for retention enforcement and controlled transfers. - Implement model registry, canarying and scheduled retraining. - Expand coverage to additional collections and tune sensitivity controls.</w:t>
      </w:r>
    </w:p>
    <w:p w14:paraId="64DED535" w14:textId="41FD191E" w:rsidR="00FD4EE9" w:rsidRPr="0077100A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b/>
          <w:bCs/>
          <w:lang w:val="en-ZA"/>
        </w:rPr>
        <w:t>Phase 3</w:t>
      </w:r>
      <w:r w:rsidR="00296381" w:rsidRPr="0077100A">
        <w:rPr>
          <w:b/>
          <w:bCs/>
          <w:lang w:val="en-ZA"/>
        </w:rPr>
        <w:t>:</w:t>
      </w:r>
      <w:r w:rsidRPr="0077100A">
        <w:rPr>
          <w:lang w:val="en-ZA"/>
        </w:rPr>
        <w:t xml:space="preserve"> Scale &amp; Sustain (12–24 months) - Full scale production, enterprise monitoring, drift detection and retraining automation. - Formalise AI management system (align to ISO/IEC 42001), annual audits, and continuous improvement cycles.</w:t>
      </w:r>
    </w:p>
    <w:p w14:paraId="26767761" w14:textId="77777777" w:rsidR="00FD4EE9" w:rsidRPr="0077100A" w:rsidRDefault="00FD4EE9" w:rsidP="0041035C">
      <w:pPr>
        <w:pStyle w:val="BodyText"/>
        <w:spacing w:line="360" w:lineRule="auto"/>
        <w:jc w:val="both"/>
        <w:rPr>
          <w:lang w:val="en-ZA"/>
        </w:rPr>
      </w:pPr>
    </w:p>
    <w:p w14:paraId="00AE6A09" w14:textId="77777777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lastRenderedPageBreak/>
        <w:t>Minimum viable deployment checklist (for procurement/ops)</w:t>
      </w:r>
    </w:p>
    <w:p w14:paraId="3E26824F" w14:textId="77777777" w:rsidR="005C044A" w:rsidRPr="0077100A" w:rsidRDefault="00000000" w:rsidP="0041035C">
      <w:pPr>
        <w:pStyle w:val="Compact"/>
        <w:numPr>
          <w:ilvl w:val="0"/>
          <w:numId w:val="1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Legal sign-off on pilot (data-protection and access-to-information mapping).</w:t>
      </w:r>
    </w:p>
    <w:p w14:paraId="6661DC87" w14:textId="77777777" w:rsidR="005C044A" w:rsidRPr="0077100A" w:rsidRDefault="00000000" w:rsidP="0041035C">
      <w:pPr>
        <w:pStyle w:val="Compact"/>
        <w:numPr>
          <w:ilvl w:val="0"/>
          <w:numId w:val="1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Defined pilot dataset and success criteria (accuracy targets, reduction in manual hours, access-to-information SLA targets).</w:t>
      </w:r>
    </w:p>
    <w:p w14:paraId="53560574" w14:textId="77777777" w:rsidR="005C044A" w:rsidRPr="0077100A" w:rsidRDefault="00000000" w:rsidP="0041035C">
      <w:pPr>
        <w:pStyle w:val="Compact"/>
        <w:numPr>
          <w:ilvl w:val="0"/>
          <w:numId w:val="1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Provenance JSON schema and database column (JSONB) agreed.</w:t>
      </w:r>
    </w:p>
    <w:p w14:paraId="261C07E3" w14:textId="77777777" w:rsidR="005C044A" w:rsidRPr="0077100A" w:rsidRDefault="00000000" w:rsidP="0041035C">
      <w:pPr>
        <w:pStyle w:val="Compact"/>
        <w:numPr>
          <w:ilvl w:val="0"/>
          <w:numId w:val="1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APIs available for ingest, provenance and review.</w:t>
      </w:r>
    </w:p>
    <w:p w14:paraId="1C6753A7" w14:textId="77777777" w:rsidR="005C044A" w:rsidRPr="0077100A" w:rsidRDefault="00000000" w:rsidP="0041035C">
      <w:pPr>
        <w:pStyle w:val="Compact"/>
        <w:numPr>
          <w:ilvl w:val="0"/>
          <w:numId w:val="1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Human review dashboard with assign/claim/complete actions.</w:t>
      </w:r>
    </w:p>
    <w:p w14:paraId="4300EC62" w14:textId="77777777" w:rsidR="005C044A" w:rsidRPr="0077100A" w:rsidRDefault="00000000" w:rsidP="0041035C">
      <w:pPr>
        <w:pStyle w:val="Compact"/>
        <w:numPr>
          <w:ilvl w:val="0"/>
          <w:numId w:val="1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Backup and immutable logs for auditability.</w:t>
      </w:r>
    </w:p>
    <w:p w14:paraId="73FE14AE" w14:textId="77777777" w:rsidR="00FD4EE9" w:rsidRPr="0077100A" w:rsidRDefault="00FD4EE9" w:rsidP="0041035C">
      <w:pPr>
        <w:pStyle w:val="Compact"/>
        <w:spacing w:line="360" w:lineRule="auto"/>
        <w:ind w:left="720"/>
        <w:jc w:val="both"/>
        <w:rPr>
          <w:lang w:val="en-ZA"/>
        </w:rPr>
      </w:pPr>
    </w:p>
    <w:p w14:paraId="157946B8" w14:textId="77777777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t>Metrics &amp; KPIs (suggested)</w:t>
      </w:r>
    </w:p>
    <w:p w14:paraId="689AAF86" w14:textId="77777777" w:rsidR="005C044A" w:rsidRPr="0077100A" w:rsidRDefault="00000000" w:rsidP="0041035C">
      <w:pPr>
        <w:pStyle w:val="Compact"/>
        <w:numPr>
          <w:ilvl w:val="0"/>
          <w:numId w:val="1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Classification precision and recall per file-plan category.</w:t>
      </w:r>
    </w:p>
    <w:p w14:paraId="114C87BE" w14:textId="77777777" w:rsidR="005C044A" w:rsidRPr="0077100A" w:rsidRDefault="00000000" w:rsidP="0041035C">
      <w:pPr>
        <w:pStyle w:val="Compact"/>
        <w:numPr>
          <w:ilvl w:val="0"/>
          <w:numId w:val="1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Time-to-discovery (median reduction pre/post pilot).</w:t>
      </w:r>
    </w:p>
    <w:p w14:paraId="40003241" w14:textId="77777777" w:rsidR="005C044A" w:rsidRPr="0077100A" w:rsidRDefault="00000000" w:rsidP="0041035C">
      <w:pPr>
        <w:pStyle w:val="Compact"/>
        <w:numPr>
          <w:ilvl w:val="0"/>
          <w:numId w:val="1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Access-to-information response SLA achievement rate.</w:t>
      </w:r>
    </w:p>
    <w:p w14:paraId="6294C439" w14:textId="77777777" w:rsidR="005C044A" w:rsidRPr="0077100A" w:rsidRDefault="00000000" w:rsidP="0041035C">
      <w:pPr>
        <w:pStyle w:val="Compact"/>
        <w:numPr>
          <w:ilvl w:val="0"/>
          <w:numId w:val="1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Review backlog size and reviewer throughput.</w:t>
      </w:r>
    </w:p>
    <w:p w14:paraId="0038AC08" w14:textId="77777777" w:rsidR="005C044A" w:rsidRPr="0077100A" w:rsidRDefault="00000000" w:rsidP="0041035C">
      <w:pPr>
        <w:pStyle w:val="Compact"/>
        <w:numPr>
          <w:ilvl w:val="0"/>
          <w:numId w:val="15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Model drift indicators (distributional shifts) and retraining frequency.</w:t>
      </w:r>
    </w:p>
    <w:p w14:paraId="56B3B302" w14:textId="77777777" w:rsidR="00FD4EE9" w:rsidRPr="0077100A" w:rsidRDefault="00FD4EE9" w:rsidP="0041035C">
      <w:pPr>
        <w:pStyle w:val="Compact"/>
        <w:spacing w:line="360" w:lineRule="auto"/>
        <w:ind w:left="720"/>
        <w:jc w:val="both"/>
        <w:rPr>
          <w:lang w:val="en-ZA"/>
        </w:rPr>
      </w:pPr>
    </w:p>
    <w:p w14:paraId="192C62E9" w14:textId="77777777" w:rsidR="005C044A" w:rsidRPr="0077100A" w:rsidRDefault="00000000" w:rsidP="0041035C">
      <w:pPr>
        <w:pStyle w:val="Heading1"/>
        <w:numPr>
          <w:ilvl w:val="0"/>
          <w:numId w:val="18"/>
        </w:numPr>
        <w:spacing w:line="360" w:lineRule="auto"/>
        <w:ind w:left="284" w:hanging="284"/>
        <w:jc w:val="both"/>
        <w:rPr>
          <w:b/>
          <w:bCs/>
          <w:lang w:val="en-ZA"/>
        </w:rPr>
      </w:pPr>
      <w:r w:rsidRPr="0077100A">
        <w:rPr>
          <w:b/>
          <w:bCs/>
          <w:lang w:val="en-ZA"/>
        </w:rPr>
        <w:t>Checklist for publishable industry artefact</w:t>
      </w:r>
    </w:p>
    <w:p w14:paraId="56DB3A5E" w14:textId="77777777" w:rsidR="005C044A" w:rsidRPr="0077100A" w:rsidRDefault="00000000" w:rsidP="0041035C">
      <w:pPr>
        <w:pStyle w:val="Compact"/>
        <w:numPr>
          <w:ilvl w:val="0"/>
          <w:numId w:val="16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Non-academic tone with actionable sections (checklist, roadmap, APIs, KPIs).</w:t>
      </w:r>
    </w:p>
    <w:p w14:paraId="335B196C" w14:textId="77777777" w:rsidR="005C044A" w:rsidRPr="002759B1" w:rsidRDefault="00000000" w:rsidP="0041035C">
      <w:pPr>
        <w:pStyle w:val="Compact"/>
        <w:numPr>
          <w:ilvl w:val="0"/>
          <w:numId w:val="16"/>
        </w:numPr>
        <w:spacing w:line="360" w:lineRule="auto"/>
        <w:jc w:val="both"/>
        <w:rPr>
          <w:lang w:val="fr-FR"/>
        </w:rPr>
      </w:pPr>
      <w:r w:rsidRPr="002759B1">
        <w:rPr>
          <w:lang w:val="fr-FR"/>
        </w:rPr>
        <w:t>Implementation templates (provenance JSON example, API endpoints, DB schema suggestion).</w:t>
      </w:r>
    </w:p>
    <w:p w14:paraId="48EB1827" w14:textId="77777777" w:rsidR="005C044A" w:rsidRPr="0077100A" w:rsidRDefault="00000000" w:rsidP="0041035C">
      <w:pPr>
        <w:pStyle w:val="Compact"/>
        <w:numPr>
          <w:ilvl w:val="0"/>
          <w:numId w:val="16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Mapping to standards and statutory instruments.</w:t>
      </w:r>
    </w:p>
    <w:p w14:paraId="7E0A7ACA" w14:textId="77777777" w:rsidR="005C044A" w:rsidRPr="0077100A" w:rsidRDefault="00000000" w:rsidP="0041035C">
      <w:pPr>
        <w:pStyle w:val="Compact"/>
        <w:numPr>
          <w:ilvl w:val="0"/>
          <w:numId w:val="16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Short case-study template to describe pilot outcomes.</w:t>
      </w:r>
    </w:p>
    <w:p w14:paraId="399AE9C8" w14:textId="77777777" w:rsidR="00FD4EE9" w:rsidRPr="0077100A" w:rsidRDefault="00FD4EE9" w:rsidP="0041035C">
      <w:pPr>
        <w:pStyle w:val="Compact"/>
        <w:spacing w:line="360" w:lineRule="auto"/>
        <w:ind w:left="720"/>
        <w:jc w:val="both"/>
        <w:rPr>
          <w:lang w:val="en-ZA"/>
        </w:rPr>
      </w:pPr>
    </w:p>
    <w:p w14:paraId="41BA14C1" w14:textId="77777777" w:rsidR="00FD4EE9" w:rsidRPr="0077100A" w:rsidRDefault="00FD4EE9" w:rsidP="0041035C">
      <w:pPr>
        <w:spacing w:line="360" w:lineRule="auto"/>
        <w:rPr>
          <w:b/>
          <w:bCs/>
          <w:lang w:val="en-ZA"/>
        </w:rPr>
      </w:pPr>
      <w:r w:rsidRPr="0077100A">
        <w:rPr>
          <w:b/>
          <w:bCs/>
          <w:lang w:val="en-ZA"/>
        </w:rPr>
        <w:br w:type="page"/>
      </w:r>
    </w:p>
    <w:p w14:paraId="3CA370DC" w14:textId="2B8BEB25" w:rsidR="00741A6E" w:rsidRPr="002759B1" w:rsidRDefault="00741A6E" w:rsidP="0041035C">
      <w:pPr>
        <w:pStyle w:val="Heading1"/>
        <w:spacing w:line="360" w:lineRule="auto"/>
        <w:rPr>
          <w:lang w:val="fr-FR"/>
        </w:rPr>
      </w:pPr>
      <w:r w:rsidRPr="002759B1">
        <w:rPr>
          <w:lang w:val="fr-FR"/>
        </w:rPr>
        <w:lastRenderedPageBreak/>
        <w:t>Example Provenance JSON (schema fragment)</w:t>
      </w:r>
    </w:p>
    <w:p w14:paraId="1B5FEA1B" w14:textId="77777777" w:rsidR="005C044A" w:rsidRPr="0077100A" w:rsidRDefault="0000000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{ "record_id": "", "source_file": "", "file_hash": "sha256:", "ingest_timestamp": "2026-06-20T08:00:00Z", "ingested_by": "uploader-username", "processing_jobs": [ { "job_id": "ocr-uuid", "job_type": "ocr", "processor": "tesseract-4.1", "processor_version": "4.1.1", "timestamp": "2026-06-20T08:10:00Z", "inputs": [""], "outputs": [""], "notes": "layout-aware OCR run" }, { "job_id": "ner-uuid", "job_type": "ner", "model_name": "ner-archive-v1", "model_version": "2026-05-12", "timestamp": "2026-06-20T09:00:00Z", "confidence_threshold": 0.6, "outputs": [""], "human_review_required": true } ], "ai": { "model_registry_id": "ner-archive-v1", "model_version": "2026-05-12", "inference_config": {"prompt": "…", "temperature": 0.0}, "inference_hash": "sha256:…", "explainability": {"saliency_uri": "…"} }, "human_review": { "status": "pending|accepted|rejected|corrected", "reviewer_id": null, "review_timestamp": null, "corrections_uri": null } }</w:t>
      </w:r>
    </w:p>
    <w:p w14:paraId="49A4CAE0" w14:textId="076FD5FC" w:rsidR="005C044A" w:rsidRPr="00C22583" w:rsidRDefault="00000000" w:rsidP="0041035C">
      <w:pPr>
        <w:pStyle w:val="Heading1"/>
        <w:spacing w:line="360" w:lineRule="auto"/>
        <w:jc w:val="both"/>
        <w:rPr>
          <w:b/>
          <w:bCs/>
          <w:lang w:val="en-ZA"/>
        </w:rPr>
      </w:pPr>
      <w:r w:rsidRPr="00C22583">
        <w:rPr>
          <w:b/>
          <w:bCs/>
          <w:lang w:val="en-ZA"/>
        </w:rPr>
        <w:t>Annex</w:t>
      </w:r>
      <w:r w:rsidR="00785A21" w:rsidRPr="00C22583">
        <w:rPr>
          <w:b/>
          <w:bCs/>
          <w:lang w:val="en-ZA"/>
        </w:rPr>
        <w:t>:</w:t>
      </w:r>
      <w:r w:rsidRPr="00C22583">
        <w:rPr>
          <w:b/>
          <w:bCs/>
          <w:lang w:val="en-ZA"/>
        </w:rPr>
        <w:t xml:space="preserve"> Mapping to standards &amp; statutes (short)</w:t>
      </w:r>
    </w:p>
    <w:p>
      <w:r>
        <w:rPr>
          <w:i/>
          <w:sz w:val="18"/>
        </w:rPr>
        <w:t>[ Figure 10 - Regime-to-control mapping matrix : insert diagram here. See 'Recommended diagrams' annex. ]</w:t>
      </w:r>
    </w:p>
    <w:p w14:paraId="5207CEA3" w14:textId="77777777" w:rsidR="005C044A" w:rsidRPr="0077100A" w:rsidRDefault="00000000" w:rsidP="0041035C">
      <w:pPr>
        <w:pStyle w:val="Compact"/>
        <w:numPr>
          <w:ilvl w:val="0"/>
          <w:numId w:val="17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Data-protection and access-to-information laws: Map the provenance and processing logs to meet the obligations of applicable data-protection regimes (e.g. GDPR) and freedom-of-information/access-to-information statutes in the operating jurisdiction.</w:t>
      </w:r>
    </w:p>
    <w:p w14:paraId="108F2633" w14:textId="77777777" w:rsidR="005C044A" w:rsidRPr="0077100A" w:rsidRDefault="00000000" w:rsidP="0041035C">
      <w:pPr>
        <w:pStyle w:val="Compact"/>
        <w:numPr>
          <w:ilvl w:val="0"/>
          <w:numId w:val="17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National archival legislation: Ensure file-plan, appraisal and disposal mapping aligns to the country-specific archival statute or national records disposal authority.</w:t>
      </w:r>
    </w:p>
    <w:p w14:paraId="5EB923FA" w14:textId="77777777" w:rsidR="005C044A" w:rsidRPr="0077100A" w:rsidRDefault="00000000" w:rsidP="0041035C">
      <w:pPr>
        <w:pStyle w:val="Compact"/>
        <w:numPr>
          <w:ilvl w:val="0"/>
          <w:numId w:val="17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ISO 15489 / 23081 / 16175 / 30301 / ISO/IEC 23894 &amp; 42001: Metadata, records management system alignment and AI risk/management system practices.</w:t>
      </w:r>
    </w:p>
    <w:p w14:paraId="5B424C4B" w14:textId="5728D8C9" w:rsidR="00103D64" w:rsidRPr="0077100A" w:rsidRDefault="00103D64" w:rsidP="0041035C">
      <w:pPr>
        <w:spacing w:line="360" w:lineRule="auto"/>
        <w:rPr>
          <w:lang w:val="en-ZA"/>
        </w:rPr>
      </w:pPr>
      <w:r w:rsidRPr="0077100A">
        <w:rPr>
          <w:lang w:val="en-ZA"/>
        </w:rPr>
        <w:br w:type="page"/>
      </w:r>
    </w:p>
    <w:p w14:paraId="046CC821" w14:textId="24DC2308" w:rsidR="00741A6E" w:rsidRPr="0077100A" w:rsidRDefault="00741A6E" w:rsidP="0041035C">
      <w:pPr>
        <w:pStyle w:val="Heading1"/>
        <w:spacing w:line="360" w:lineRule="auto"/>
        <w:rPr>
          <w:lang w:val="en-ZA"/>
        </w:rPr>
      </w:pPr>
      <w:r w:rsidRPr="0077100A">
        <w:rPr>
          <w:lang w:val="en-ZA"/>
        </w:rPr>
        <w:lastRenderedPageBreak/>
        <w:t>Industry AI RM Framework</w:t>
      </w:r>
    </w:p>
    <w:p w14:paraId="1C38A00A" w14:textId="77777777" w:rsidR="00103D64" w:rsidRPr="000A3397" w:rsidRDefault="00103D64" w:rsidP="0041035C">
      <w:pPr>
        <w:pStyle w:val="BodyText"/>
        <w:spacing w:line="360" w:lineRule="auto"/>
        <w:rPr>
          <w:b/>
          <w:bCs/>
          <w:lang w:val="en-ZA"/>
        </w:rPr>
      </w:pPr>
      <w:r w:rsidRPr="000A3397">
        <w:rPr>
          <w:b/>
          <w:bCs/>
          <w:lang w:val="en-ZA"/>
        </w:rPr>
        <w:t>Contents</w:t>
      </w:r>
    </w:p>
    <w:p w14:paraId="43606431" w14:textId="77777777" w:rsidR="00103D64" w:rsidRPr="0077100A" w:rsidRDefault="00103D64" w:rsidP="0041035C">
      <w:pPr>
        <w:numPr>
          <w:ilvl w:val="0"/>
          <w:numId w:val="35"/>
        </w:numPr>
        <w:spacing w:line="360" w:lineRule="auto"/>
        <w:rPr>
          <w:lang w:val="en-ZA"/>
        </w:rPr>
      </w:pPr>
      <w:r w:rsidRPr="0077100A">
        <w:rPr>
          <w:lang w:val="en-ZA"/>
        </w:rPr>
        <w:t>API contracts and example endpoints</w:t>
      </w:r>
    </w:p>
    <w:p w14:paraId="63F08D5B" w14:textId="77777777" w:rsidR="00103D64" w:rsidRPr="0077100A" w:rsidRDefault="00103D64" w:rsidP="0041035C">
      <w:pPr>
        <w:numPr>
          <w:ilvl w:val="0"/>
          <w:numId w:val="35"/>
        </w:numPr>
        <w:spacing w:line="360" w:lineRule="auto"/>
        <w:rPr>
          <w:lang w:val="en-ZA"/>
        </w:rPr>
      </w:pPr>
      <w:r w:rsidRPr="0077100A">
        <w:rPr>
          <w:lang w:val="en-ZA"/>
        </w:rPr>
        <w:t>JSON-LD / provenance / PROV-O examples</w:t>
      </w:r>
    </w:p>
    <w:p w14:paraId="1E6BC8EF" w14:textId="77777777" w:rsidR="00103D64" w:rsidRPr="0077100A" w:rsidRDefault="00103D64" w:rsidP="0041035C">
      <w:pPr>
        <w:numPr>
          <w:ilvl w:val="0"/>
          <w:numId w:val="35"/>
        </w:numPr>
        <w:spacing w:line="360" w:lineRule="auto"/>
        <w:rPr>
          <w:lang w:val="en-ZA"/>
        </w:rPr>
      </w:pPr>
      <w:r w:rsidRPr="0077100A">
        <w:rPr>
          <w:lang w:val="en-ZA"/>
        </w:rPr>
        <w:t>Provenance &amp; evidence model</w:t>
      </w:r>
    </w:p>
    <w:p>
      <w:r>
        <w:rPr>
          <w:i/>
          <w:sz w:val="18"/>
        </w:rPr>
        <w:t>[ Figure 4 - Provenance event model (PROV-O) : insert diagram here. See 'Recommended diagrams' annex. ]</w:t>
      </w:r>
    </w:p>
    <w:p w14:paraId="28082961" w14:textId="77777777" w:rsidR="00103D64" w:rsidRPr="0077100A" w:rsidRDefault="00103D64" w:rsidP="0041035C">
      <w:pPr>
        <w:numPr>
          <w:ilvl w:val="0"/>
          <w:numId w:val="35"/>
        </w:numPr>
        <w:spacing w:line="360" w:lineRule="auto"/>
        <w:rPr>
          <w:lang w:val="en-ZA"/>
        </w:rPr>
      </w:pPr>
      <w:r w:rsidRPr="0077100A">
        <w:rPr>
          <w:lang w:val="en-ZA"/>
        </w:rPr>
        <w:t>Deployment patterns: on-prem, cloud (multi-region), hybrid</w:t>
      </w:r>
    </w:p>
    <w:p w14:paraId="5C283CB0" w14:textId="77777777" w:rsidR="00103D64" w:rsidRPr="0077100A" w:rsidRDefault="00103D64" w:rsidP="0041035C">
      <w:pPr>
        <w:numPr>
          <w:ilvl w:val="0"/>
          <w:numId w:val="35"/>
        </w:numPr>
        <w:spacing w:line="360" w:lineRule="auto"/>
        <w:rPr>
          <w:lang w:val="en-ZA"/>
        </w:rPr>
      </w:pPr>
      <w:r w:rsidRPr="0077100A">
        <w:rPr>
          <w:lang w:val="en-ZA"/>
        </w:rPr>
        <w:t>Sample export/import formats and packaging (METS, JSON, bagit)</w:t>
      </w:r>
    </w:p>
    <w:p w14:paraId="0EAD0C99" w14:textId="77777777" w:rsidR="00103D64" w:rsidRPr="0077100A" w:rsidRDefault="00103D64" w:rsidP="0041035C">
      <w:pPr>
        <w:numPr>
          <w:ilvl w:val="0"/>
          <w:numId w:val="35"/>
        </w:numPr>
        <w:spacing w:line="360" w:lineRule="auto"/>
        <w:rPr>
          <w:lang w:val="en-ZA"/>
        </w:rPr>
      </w:pPr>
      <w:r w:rsidRPr="0077100A">
        <w:rPr>
          <w:lang w:val="en-ZA"/>
        </w:rPr>
        <w:t>Operational notes: keys, certificates, logging</w:t>
      </w:r>
    </w:p>
    <w:p w14:paraId="1FC90933" w14:textId="77777777" w:rsidR="00103D64" w:rsidRPr="0077100A" w:rsidRDefault="00103D64" w:rsidP="0041035C">
      <w:pPr>
        <w:pStyle w:val="Heading2"/>
        <w:numPr>
          <w:ilvl w:val="0"/>
          <w:numId w:val="35"/>
        </w:numPr>
        <w:spacing w:line="360" w:lineRule="auto"/>
        <w:rPr>
          <w:lang w:val="en-ZA"/>
        </w:rPr>
      </w:pPr>
      <w:r w:rsidRPr="0077100A">
        <w:rPr>
          <w:lang w:val="en-ZA"/>
        </w:rPr>
        <w:t>API contracts and example endpoints (OpenAPI-style descriptions)</w:t>
      </w:r>
    </w:p>
    <w:p w14:paraId="7E72A52B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/api/v1/ingest</w:t>
      </w:r>
    </w:p>
    <w:p w14:paraId="0F3752F1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POST</w:t>
      </w:r>
    </w:p>
    <w:p w14:paraId="5875A5D1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Body: multipart/form-data or application/json</w:t>
      </w:r>
    </w:p>
    <w:p w14:paraId="34671A98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Fields: file, metadata (JSON), provenance (JSON)</w:t>
      </w:r>
    </w:p>
    <w:p w14:paraId="7274009F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Response: 202 Accepted, job_id</w:t>
      </w:r>
    </w:p>
    <w:p w14:paraId="6748D7EF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/api/v1/ingest/{job_id}/status</w:t>
      </w:r>
    </w:p>
    <w:p w14:paraId="7090D58C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GET</w:t>
      </w:r>
    </w:p>
    <w:p w14:paraId="7F5D4102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Response: status, progress, errors</w:t>
      </w:r>
    </w:p>
    <w:p w14:paraId="3793F252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/api/v1/records/{id}</w:t>
      </w:r>
    </w:p>
    <w:p w14:paraId="41C412B9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GET: returns metadata and access URLs (signed if necessary)</w:t>
      </w:r>
    </w:p>
    <w:p w14:paraId="1A0F225E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PATCH: update metadata (RBAC-protected)</w:t>
      </w:r>
    </w:p>
    <w:p w14:paraId="51A63DD9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DELETE: request deletion (subject to retention policy and legal hold)</w:t>
      </w:r>
    </w:p>
    <w:p w14:paraId="719F9588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/api/v1/search</w:t>
      </w:r>
    </w:p>
    <w:p w14:paraId="12386B3C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POST: query DSL (filters by metadata, fulltext, date ranges, confidence)</w:t>
      </w:r>
    </w:p>
    <w:p w14:paraId="197694C5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Response: results with provenance snippets</w:t>
      </w:r>
    </w:p>
    <w:p w14:paraId="75361757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/api/v1/provenance/{id}</w:t>
      </w:r>
    </w:p>
    <w:p w14:paraId="372A5347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lastRenderedPageBreak/>
        <w:t>GET: returns PROV-O/JSON-LD provenance graph for record</w:t>
      </w:r>
    </w:p>
    <w:p w14:paraId="6DC98935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/api/v1/audit/logs</w:t>
      </w:r>
    </w:p>
    <w:p w14:paraId="67A19BDB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GET: returns tamper-evident logs (signed entries)</w:t>
      </w:r>
    </w:p>
    <w:p w14:paraId="3DE50616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/api/v1/access-requests</w:t>
      </w:r>
    </w:p>
    <w:p w14:paraId="1627588E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POST: create a subject access / FOI request</w:t>
      </w:r>
    </w:p>
    <w:p w14:paraId="7E7CFBE6" w14:textId="77777777" w:rsidR="00103D64" w:rsidRPr="0077100A" w:rsidRDefault="00103D64" w:rsidP="0041035C">
      <w:pPr>
        <w:pStyle w:val="Compact"/>
        <w:numPr>
          <w:ilvl w:val="1"/>
          <w:numId w:val="2"/>
        </w:numPr>
        <w:spacing w:line="360" w:lineRule="auto"/>
        <w:rPr>
          <w:lang w:val="en-ZA"/>
        </w:rPr>
      </w:pPr>
      <w:r w:rsidRPr="0077100A">
        <w:rPr>
          <w:lang w:val="en-ZA"/>
        </w:rPr>
        <w:t>GET: status and exported package</w:t>
      </w:r>
    </w:p>
    <w:p w14:paraId="1BD8AF3A" w14:textId="337B604E" w:rsidR="00103D64" w:rsidRPr="0077100A" w:rsidRDefault="00103D64" w:rsidP="0041035C">
      <w:pPr>
        <w:pStyle w:val="Heading3"/>
        <w:numPr>
          <w:ilvl w:val="1"/>
          <w:numId w:val="35"/>
        </w:numPr>
        <w:spacing w:line="360" w:lineRule="auto"/>
        <w:ind w:left="709"/>
        <w:rPr>
          <w:lang w:val="en-ZA"/>
        </w:rPr>
      </w:pPr>
      <w:r w:rsidRPr="0077100A">
        <w:rPr>
          <w:lang w:val="en-ZA"/>
        </w:rPr>
        <w:t>Authentication</w:t>
      </w:r>
    </w:p>
    <w:p w14:paraId="62C70388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OAuth2 / OpenID Connect recommended for users and services</w:t>
      </w:r>
    </w:p>
    <w:p w14:paraId="07DF72D8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Client credentials for service-to-service with scoped tokens</w:t>
      </w:r>
    </w:p>
    <w:p w14:paraId="2245744E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Short-lived signed URLs for downloads; verify with HMAC or JWT</w:t>
      </w:r>
    </w:p>
    <w:p w14:paraId="5D8B91C7" w14:textId="77777777" w:rsidR="00103D64" w:rsidRPr="0077100A" w:rsidRDefault="00103D64" w:rsidP="0041035C">
      <w:pPr>
        <w:pStyle w:val="Heading2"/>
        <w:numPr>
          <w:ilvl w:val="0"/>
          <w:numId w:val="21"/>
        </w:numPr>
        <w:spacing w:line="360" w:lineRule="auto"/>
        <w:rPr>
          <w:lang w:val="en-ZA"/>
        </w:rPr>
      </w:pPr>
      <w:r w:rsidRPr="0077100A">
        <w:rPr>
          <w:lang w:val="en-ZA"/>
        </w:rPr>
        <w:t>JSON-LD / provenance / PROV-O examples</w:t>
      </w:r>
    </w:p>
    <w:p w14:paraId="4E645709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Give a JSON-LD snippet that models an ingest event, the agent (system), and the derived artifact. Use W3C PROV terms.</w:t>
      </w:r>
    </w:p>
    <w:p w14:paraId="7A6BC2A4" w14:textId="77777777" w:rsidR="00103D64" w:rsidRPr="0077100A" w:rsidRDefault="00103D64" w:rsidP="0041035C">
      <w:pPr>
        <w:pStyle w:val="Heading2"/>
        <w:numPr>
          <w:ilvl w:val="0"/>
          <w:numId w:val="22"/>
        </w:numPr>
        <w:spacing w:line="360" w:lineRule="auto"/>
        <w:rPr>
          <w:lang w:val="en-ZA"/>
        </w:rPr>
      </w:pPr>
      <w:r w:rsidRPr="0077100A">
        <w:rPr>
          <w:lang w:val="en-ZA"/>
        </w:rPr>
        <w:t>Provenance &amp; evidence model</w:t>
      </w:r>
    </w:p>
    <w:p w14:paraId="13170DA2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Store provenance at event granularity: ingest, transform, classification, redaction, export</w:t>
      </w:r>
    </w:p>
    <w:p w14:paraId="7672C3A9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Each event: timestamp (ISO8601 UTC), agent_id, action_type, inputs, outputs, signature (optional), job_id</w:t>
      </w:r>
    </w:p>
    <w:p w14:paraId="2BC912FF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Tamper-evidence: sign logs with server key; support export with chain-of-custody manifest</w:t>
      </w:r>
    </w:p>
    <w:p w14:paraId="5BEA89FD" w14:textId="77777777" w:rsidR="00103D64" w:rsidRPr="0077100A" w:rsidRDefault="00103D64" w:rsidP="0041035C">
      <w:pPr>
        <w:pStyle w:val="Heading2"/>
        <w:numPr>
          <w:ilvl w:val="0"/>
          <w:numId w:val="23"/>
        </w:numPr>
        <w:spacing w:line="360" w:lineRule="auto"/>
        <w:rPr>
          <w:lang w:val="en-ZA"/>
        </w:rPr>
      </w:pPr>
      <w:r w:rsidRPr="0077100A">
        <w:rPr>
          <w:lang w:val="en-ZA"/>
        </w:rPr>
        <w:t>Deployment patterns</w:t>
      </w:r>
    </w:p>
    <w:p>
      <w:r>
        <w:rPr>
          <w:i/>
          <w:sz w:val="18"/>
        </w:rPr>
        <w:t>[ Figure 9 - Deployment topologies and data residency : insert diagram here. See 'Recommended diagrams' annex. ]</w:t>
      </w:r>
    </w:p>
    <w:p w14:paraId="4FBCA871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On-prem: single-region, control over data residency; use local object store (S3-compatible or POSIX), single point of authority for KMS</w:t>
      </w:r>
    </w:p>
    <w:p w14:paraId="1396E8B8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Cloud single-region: managed services; ensure regional placement matches legal requirements, use provider KMS with CMK where possible</w:t>
      </w:r>
    </w:p>
    <w:p w14:paraId="1F6AA360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Cloud multi-region replication: asynchronous replication; ensure legal mapping for transfers; use encrypted replication channels</w:t>
      </w:r>
    </w:p>
    <w:p w14:paraId="590A6D1E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lastRenderedPageBreak/>
        <w:t>Hybrid: edge ingest + centralised analytics; keep primary content in on-prem vault, mirror derived indexes to cloud for processing</w:t>
      </w:r>
    </w:p>
    <w:p w14:paraId="0009108A" w14:textId="77777777" w:rsidR="00103D64" w:rsidRPr="0077100A" w:rsidRDefault="00103D64" w:rsidP="0041035C">
      <w:pPr>
        <w:pStyle w:val="Heading2"/>
        <w:numPr>
          <w:ilvl w:val="0"/>
          <w:numId w:val="24"/>
        </w:numPr>
        <w:spacing w:line="360" w:lineRule="auto"/>
        <w:rPr>
          <w:lang w:val="en-ZA"/>
        </w:rPr>
      </w:pPr>
      <w:r w:rsidRPr="0077100A">
        <w:rPr>
          <w:lang w:val="en-ZA"/>
        </w:rPr>
        <w:t>Packaging and exchange</w:t>
      </w:r>
    </w:p>
    <w:p w14:paraId="76CC1C2D" w14:textId="24DB6309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 xml:space="preserve">METS packaging for complex archival packages; JSON export for lightweight exchange; bagit for </w:t>
      </w:r>
      <w:r w:rsidR="00CA33E0" w:rsidRPr="0077100A">
        <w:rPr>
          <w:lang w:val="en-ZA"/>
        </w:rPr>
        <w:t>physically moving</w:t>
      </w:r>
      <w:r w:rsidRPr="0077100A">
        <w:rPr>
          <w:lang w:val="en-ZA"/>
        </w:rPr>
        <w:t xml:space="preserve"> collections</w:t>
      </w:r>
    </w:p>
    <w:p w14:paraId="0F61E456" w14:textId="77777777" w:rsidR="00103D64" w:rsidRPr="0077100A" w:rsidRDefault="00103D64" w:rsidP="0041035C">
      <w:pPr>
        <w:pStyle w:val="Heading2"/>
        <w:numPr>
          <w:ilvl w:val="0"/>
          <w:numId w:val="25"/>
        </w:numPr>
        <w:spacing w:line="360" w:lineRule="auto"/>
        <w:rPr>
          <w:lang w:val="en-ZA"/>
        </w:rPr>
      </w:pPr>
      <w:r w:rsidRPr="0077100A">
        <w:rPr>
          <w:lang w:val="en-ZA"/>
        </w:rPr>
        <w:t>Operational notes</w:t>
      </w:r>
    </w:p>
    <w:p w14:paraId="39816D6B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Rotate keys and credentials; maintain vault for secrets</w:t>
      </w:r>
    </w:p>
    <w:p w14:paraId="354F61DC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Strong TLS, HSTS, and CSP for web interfaces</w:t>
      </w:r>
    </w:p>
    <w:p w14:paraId="416A1368" w14:textId="77777777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Logging: structured logs, retain as per control, exportable for audits</w:t>
      </w:r>
    </w:p>
    <w:p w14:paraId="55117E45" w14:textId="64E00BA7" w:rsidR="00103D64" w:rsidRPr="0077100A" w:rsidRDefault="00103D64" w:rsidP="0041035C">
      <w:pPr>
        <w:spacing w:line="360" w:lineRule="auto"/>
        <w:rPr>
          <w:lang w:val="en-ZA"/>
        </w:rPr>
      </w:pPr>
      <w:r w:rsidRPr="0077100A">
        <w:rPr>
          <w:lang w:val="en-ZA"/>
        </w:rPr>
        <w:br w:type="page"/>
      </w:r>
    </w:p>
    <w:p w14:paraId="4A11F50A" w14:textId="6B1518AB" w:rsidR="00741A6E" w:rsidRPr="0077100A" w:rsidRDefault="00741A6E" w:rsidP="0041035C">
      <w:pPr>
        <w:pStyle w:val="Heading1"/>
        <w:spacing w:line="360" w:lineRule="auto"/>
        <w:rPr>
          <w:lang w:val="en-ZA"/>
        </w:rPr>
      </w:pPr>
      <w:r w:rsidRPr="0077100A">
        <w:rPr>
          <w:lang w:val="en-ZA"/>
        </w:rPr>
        <w:lastRenderedPageBreak/>
        <w:t>Industry AI R</w:t>
      </w:r>
      <w:r w:rsidR="00223457">
        <w:rPr>
          <w:lang w:val="en-ZA"/>
        </w:rPr>
        <w:t>A</w:t>
      </w:r>
      <w:r w:rsidRPr="0077100A">
        <w:rPr>
          <w:lang w:val="en-ZA"/>
        </w:rPr>
        <w:t>M Framework</w:t>
      </w:r>
    </w:p>
    <w:p w14:paraId="72A6FCDD" w14:textId="77777777" w:rsidR="00103D64" w:rsidRPr="00FA72ED" w:rsidRDefault="00103D64" w:rsidP="0041035C">
      <w:pPr>
        <w:pStyle w:val="Heading2"/>
        <w:spacing w:line="360" w:lineRule="auto"/>
        <w:rPr>
          <w:b/>
          <w:bCs/>
          <w:lang w:val="en-ZA"/>
        </w:rPr>
      </w:pPr>
      <w:r w:rsidRPr="00FA72ED">
        <w:rPr>
          <w:b/>
          <w:bCs/>
          <w:lang w:val="en-ZA"/>
        </w:rPr>
        <w:t>Purpose</w:t>
      </w:r>
    </w:p>
    <w:p w14:paraId="0B3FB009" w14:textId="77777777" w:rsidR="00103D64" w:rsidRPr="0077100A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This annex provides a jurisdiction-agnostic template and checklist to map local legal and regulatory obligations to the controls and modules described in the Heratio Industry AI for RM/Archives framework. It is intended for implementers and procurement teams to quickly identify where configuration or local policy must be applied.</w:t>
      </w:r>
    </w:p>
    <w:p w14:paraId="25510597" w14:textId="77777777" w:rsidR="00103D64" w:rsidRPr="0077100A" w:rsidRDefault="00103D64" w:rsidP="0041035C">
      <w:pPr>
        <w:pStyle w:val="Heading2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How to use</w:t>
      </w:r>
    </w:p>
    <w:p w14:paraId="30502DCD" w14:textId="77777777" w:rsidR="00103D64" w:rsidRPr="0077100A" w:rsidRDefault="00103D64" w:rsidP="0041035C">
      <w:pPr>
        <w:pStyle w:val="Compact"/>
        <w:numPr>
          <w:ilvl w:val="0"/>
          <w:numId w:val="3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Identify the target jurisdiction(s).</w:t>
      </w:r>
    </w:p>
    <w:p w14:paraId="0EF9D0F1" w14:textId="77777777" w:rsidR="00103D64" w:rsidRPr="0077100A" w:rsidRDefault="00103D64" w:rsidP="0041035C">
      <w:pPr>
        <w:pStyle w:val="Compact"/>
        <w:numPr>
          <w:ilvl w:val="0"/>
          <w:numId w:val="3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For each law/regime, record the specific obligations that affect processing, retention, access, data residency, and disclosure.</w:t>
      </w:r>
    </w:p>
    <w:p w14:paraId="20D15B42" w14:textId="77777777" w:rsidR="00103D64" w:rsidRPr="0077100A" w:rsidRDefault="00103D64" w:rsidP="0041035C">
      <w:pPr>
        <w:pStyle w:val="Compact"/>
        <w:numPr>
          <w:ilvl w:val="0"/>
          <w:numId w:val="3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Map each obligation to a framework control (control_id) from the main framework and add recommended configuration values.</w:t>
      </w:r>
    </w:p>
    <w:p w14:paraId="1AA6C52D" w14:textId="77777777" w:rsidR="00103D64" w:rsidRPr="0077100A" w:rsidRDefault="00103D64" w:rsidP="0041035C">
      <w:pPr>
        <w:pStyle w:val="Compact"/>
        <w:numPr>
          <w:ilvl w:val="0"/>
          <w:numId w:val="34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Use the checklist during procurement, deployment and audits.</w:t>
      </w:r>
    </w:p>
    <w:p w14:paraId="0AE70CCB" w14:textId="77777777" w:rsidR="00103D64" w:rsidRPr="00FA72ED" w:rsidRDefault="00103D64" w:rsidP="0041035C">
      <w:pPr>
        <w:pStyle w:val="Heading2"/>
        <w:spacing w:line="360" w:lineRule="auto"/>
        <w:jc w:val="both"/>
        <w:rPr>
          <w:b/>
          <w:bCs/>
          <w:lang w:val="en-ZA"/>
        </w:rPr>
      </w:pPr>
      <w:r w:rsidRPr="00FA72ED">
        <w:rPr>
          <w:b/>
          <w:bCs/>
          <w:lang w:val="en-ZA"/>
        </w:rPr>
        <w:t>Representative regimes covered (templates)</w:t>
      </w:r>
    </w:p>
    <w:p w14:paraId="5CE2791F" w14:textId="01B954B0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254BAF">
        <w:rPr>
          <w:b/>
          <w:bCs/>
          <w:lang w:val="en-ZA"/>
        </w:rPr>
        <w:t>GDPR (European Union)</w:t>
      </w:r>
      <w:r w:rsidR="00254BAF" w:rsidRPr="00254BAF">
        <w:rPr>
          <w:b/>
          <w:bCs/>
          <w:lang w:val="en-ZA"/>
        </w:rPr>
        <w:t>:</w:t>
      </w:r>
      <w:r w:rsidRPr="0077100A">
        <w:rPr>
          <w:lang w:val="en-ZA"/>
        </w:rPr>
        <w:t xml:space="preserve"> personal data processing, lawful basis, DPIAs, data subject rights, data protection impact assessment, cross-border transfer restrictions, fines and supervisory authority obligations.</w:t>
      </w:r>
    </w:p>
    <w:p w14:paraId="774D8EFF" w14:textId="0802C131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254BAF">
        <w:rPr>
          <w:b/>
          <w:bCs/>
          <w:lang w:val="en-ZA"/>
        </w:rPr>
        <w:t>FOIA / Freedom of Information (e.g. US state/federal FOIA, UK FOI)</w:t>
      </w:r>
      <w:r w:rsidR="00254BAF">
        <w:rPr>
          <w:b/>
          <w:bCs/>
          <w:lang w:val="en-ZA"/>
        </w:rPr>
        <w:t>:</w:t>
      </w:r>
      <w:r w:rsidRPr="0077100A">
        <w:rPr>
          <w:lang w:val="en-ZA"/>
        </w:rPr>
        <w:t xml:space="preserve"> public access obligations, exemptions, response timelines and publication requirements.</w:t>
      </w:r>
    </w:p>
    <w:p w14:paraId="7573CCB0" w14:textId="6C72A345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254BAF">
        <w:rPr>
          <w:b/>
          <w:bCs/>
          <w:lang w:val="en-ZA"/>
        </w:rPr>
        <w:t>HIPAA (USA, health data)</w:t>
      </w:r>
      <w:r w:rsidR="00254BAF" w:rsidRPr="00254BAF">
        <w:rPr>
          <w:b/>
          <w:bCs/>
          <w:lang w:val="en-ZA"/>
        </w:rPr>
        <w:t>:</w:t>
      </w:r>
      <w:r w:rsidRPr="0077100A">
        <w:rPr>
          <w:lang w:val="en-ZA"/>
        </w:rPr>
        <w:t xml:space="preserve"> special categories (PHI), minimum necessary, BAAs, breach notification timelines.</w:t>
      </w:r>
    </w:p>
    <w:p w14:paraId="7680661C" w14:textId="47107A10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254BAF">
        <w:rPr>
          <w:b/>
          <w:bCs/>
          <w:lang w:val="en-ZA"/>
        </w:rPr>
        <w:t>POPIA (South Africa)</w:t>
      </w:r>
      <w:r w:rsidR="00254BAF" w:rsidRPr="00254BAF">
        <w:rPr>
          <w:b/>
          <w:bCs/>
          <w:lang w:val="en-ZA"/>
        </w:rPr>
        <w:t>:</w:t>
      </w:r>
      <w:r w:rsidRPr="0077100A">
        <w:rPr>
          <w:lang w:val="en-ZA"/>
        </w:rPr>
        <w:t xml:space="preserve"> data protection principles, retention, special personal information, data subject rights.</w:t>
      </w:r>
    </w:p>
    <w:p w14:paraId="36DA28D9" w14:textId="3B119375" w:rsidR="00103D64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254BAF">
        <w:rPr>
          <w:b/>
          <w:bCs/>
          <w:lang w:val="en-ZA"/>
        </w:rPr>
        <w:t>Example other regimes</w:t>
      </w:r>
      <w:r w:rsidR="00254BAF" w:rsidRPr="00254BAF">
        <w:rPr>
          <w:b/>
          <w:bCs/>
          <w:lang w:val="en-ZA"/>
        </w:rPr>
        <w:t>:</w:t>
      </w:r>
      <w:r w:rsidRPr="0077100A">
        <w:rPr>
          <w:lang w:val="en-ZA"/>
        </w:rPr>
        <w:t xml:space="preserve"> APPI (Japan), PIPEDA (Canada), LGPD (Brazil), etc. Use the template rows in the CSV to add local laws.</w:t>
      </w:r>
    </w:p>
    <w:p w14:paraId="79E5D755" w14:textId="77777777" w:rsidR="0085274F" w:rsidRPr="0077100A" w:rsidRDefault="0085274F" w:rsidP="0085274F">
      <w:pPr>
        <w:pStyle w:val="Compact"/>
        <w:spacing w:line="360" w:lineRule="auto"/>
        <w:ind w:left="720"/>
        <w:jc w:val="both"/>
        <w:rPr>
          <w:lang w:val="en-ZA"/>
        </w:rPr>
      </w:pPr>
    </w:p>
    <w:p w14:paraId="6A5DDD3A" w14:textId="77777777" w:rsidR="00103D64" w:rsidRPr="00FA72ED" w:rsidRDefault="00103D64" w:rsidP="0041035C">
      <w:pPr>
        <w:pStyle w:val="Heading2"/>
        <w:spacing w:line="360" w:lineRule="auto"/>
        <w:jc w:val="both"/>
        <w:rPr>
          <w:b/>
          <w:bCs/>
          <w:lang w:val="en-ZA"/>
        </w:rPr>
      </w:pPr>
      <w:r w:rsidRPr="00FA72ED">
        <w:rPr>
          <w:b/>
          <w:bCs/>
          <w:lang w:val="en-ZA"/>
        </w:rPr>
        <w:lastRenderedPageBreak/>
        <w:t>Template: Law summary (editable)</w:t>
      </w:r>
    </w:p>
    <w:p w14:paraId="1340F409" w14:textId="77777777" w:rsidR="0085274F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Name: [e.g. GDPR] </w:t>
      </w:r>
    </w:p>
    <w:p w14:paraId="432F3ED1" w14:textId="77777777" w:rsidR="0085274F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Jurisdiction: [EU / Member State] </w:t>
      </w:r>
    </w:p>
    <w:p w14:paraId="6AAC46ED" w14:textId="77777777" w:rsidR="0085274F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Scope: [what data/persons/organisations are covered] </w:t>
      </w:r>
    </w:p>
    <w:p w14:paraId="576CE63C" w14:textId="77777777" w:rsidR="0085274F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Key obligations (short): </w:t>
      </w:r>
    </w:p>
    <w:p w14:paraId="54A8EBBF" w14:textId="77777777" w:rsidR="0085274F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Lawful basis for processing </w:t>
      </w:r>
    </w:p>
    <w:p w14:paraId="27669646" w14:textId="77777777" w:rsidR="0085274F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Data subject rights required </w:t>
      </w:r>
    </w:p>
    <w:p w14:paraId="7E051DE9" w14:textId="77777777" w:rsidR="0085274F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Retention constraints </w:t>
      </w:r>
    </w:p>
    <w:p w14:paraId="72486E63" w14:textId="77777777" w:rsidR="0085274F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Data breach notification timeline </w:t>
      </w:r>
    </w:p>
    <w:p w14:paraId="5CCEB65E" w14:textId="77777777" w:rsidR="0085274F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Cross-border transfer rules </w:t>
      </w:r>
    </w:p>
    <w:p w14:paraId="2DFCF674" w14:textId="5FBFD156" w:rsidR="00103D64" w:rsidRPr="0077100A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- Special categories handling</w:t>
      </w:r>
    </w:p>
    <w:p w14:paraId="5C8787B2" w14:textId="77777777" w:rsidR="00103D64" w:rsidRPr="00FA72ED" w:rsidRDefault="00103D64" w:rsidP="0041035C">
      <w:pPr>
        <w:pStyle w:val="Heading2"/>
        <w:spacing w:line="360" w:lineRule="auto"/>
        <w:jc w:val="both"/>
        <w:rPr>
          <w:b/>
          <w:bCs/>
          <w:lang w:val="en-ZA"/>
        </w:rPr>
      </w:pPr>
      <w:r w:rsidRPr="00FA72ED">
        <w:rPr>
          <w:b/>
          <w:bCs/>
          <w:lang w:val="en-ZA"/>
        </w:rPr>
        <w:t>Mapping checklist (recommended)</w:t>
      </w:r>
    </w:p>
    <w:p w14:paraId="566DA369" w14:textId="1A2B3004" w:rsidR="00103D64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For each obligation above, add a mapping to the framework control. Example columns are provided in the </w:t>
      </w:r>
      <w:r w:rsidR="002759B1">
        <w:rPr>
          <w:lang w:val="en-ZA"/>
        </w:rPr>
        <w:t>table</w:t>
      </w:r>
      <w:r w:rsidRPr="0077100A">
        <w:rPr>
          <w:lang w:val="en-ZA"/>
        </w:rPr>
        <w:t>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9"/>
        <w:gridCol w:w="1065"/>
        <w:gridCol w:w="1140"/>
        <w:gridCol w:w="1676"/>
        <w:gridCol w:w="1089"/>
        <w:gridCol w:w="3569"/>
      </w:tblGrid>
      <w:tr w:rsidR="007000C0" w:rsidRPr="007000C0" w14:paraId="3AB2F028" w14:textId="77777777" w:rsidTr="00F91145">
        <w:trPr>
          <w:trHeight w:val="288"/>
        </w:trPr>
        <w:tc>
          <w:tcPr>
            <w:tcW w:w="0" w:type="auto"/>
            <w:shd w:val="clear" w:color="auto" w:fill="D6E3BC" w:themeFill="accent3" w:themeFillTint="66"/>
            <w:noWrap/>
            <w:vAlign w:val="bottom"/>
            <w:hideMark/>
          </w:tcPr>
          <w:p w14:paraId="1EF7085A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law_name</w:t>
            </w:r>
          </w:p>
        </w:tc>
        <w:tc>
          <w:tcPr>
            <w:tcW w:w="0" w:type="auto"/>
            <w:shd w:val="clear" w:color="auto" w:fill="D6E3BC" w:themeFill="accent3" w:themeFillTint="66"/>
            <w:noWrap/>
            <w:vAlign w:val="bottom"/>
            <w:hideMark/>
          </w:tcPr>
          <w:p w14:paraId="060836F8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jurisdiction</w:t>
            </w:r>
          </w:p>
        </w:tc>
        <w:tc>
          <w:tcPr>
            <w:tcW w:w="1164" w:type="dxa"/>
            <w:shd w:val="clear" w:color="auto" w:fill="D6E3BC" w:themeFill="accent3" w:themeFillTint="66"/>
            <w:noWrap/>
            <w:vAlign w:val="bottom"/>
            <w:hideMark/>
          </w:tcPr>
          <w:p w14:paraId="04318C82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scope</w:t>
            </w:r>
          </w:p>
        </w:tc>
        <w:tc>
          <w:tcPr>
            <w:tcW w:w="1714" w:type="dxa"/>
            <w:shd w:val="clear" w:color="auto" w:fill="D6E3BC" w:themeFill="accent3" w:themeFillTint="66"/>
            <w:noWrap/>
            <w:vAlign w:val="bottom"/>
            <w:hideMark/>
          </w:tcPr>
          <w:p w14:paraId="7BE8047B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key_obligations</w:t>
            </w:r>
          </w:p>
        </w:tc>
        <w:tc>
          <w:tcPr>
            <w:tcW w:w="1112" w:type="dxa"/>
            <w:shd w:val="clear" w:color="auto" w:fill="D6E3BC" w:themeFill="accent3" w:themeFillTint="66"/>
            <w:noWrap/>
            <w:vAlign w:val="bottom"/>
            <w:hideMark/>
          </w:tcPr>
          <w:p w14:paraId="0F00D7CD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control_id</w:t>
            </w:r>
          </w:p>
        </w:tc>
        <w:tc>
          <w:tcPr>
            <w:tcW w:w="3656" w:type="dxa"/>
            <w:shd w:val="clear" w:color="auto" w:fill="D6E3BC" w:themeFill="accent3" w:themeFillTint="66"/>
            <w:noWrap/>
            <w:vAlign w:val="bottom"/>
            <w:hideMark/>
          </w:tcPr>
          <w:p w14:paraId="2E63835A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recommended_config</w:t>
            </w:r>
          </w:p>
        </w:tc>
      </w:tr>
      <w:tr w:rsidR="007000C0" w:rsidRPr="007000C0" w14:paraId="4C224F0C" w14:textId="77777777" w:rsidTr="00F91145">
        <w:trPr>
          <w:trHeight w:val="510"/>
        </w:trPr>
        <w:tc>
          <w:tcPr>
            <w:tcW w:w="0" w:type="auto"/>
            <w:noWrap/>
            <w:vAlign w:val="bottom"/>
            <w:hideMark/>
          </w:tcPr>
          <w:p w14:paraId="7DB40DE9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GDPR</w:t>
            </w:r>
          </w:p>
        </w:tc>
        <w:tc>
          <w:tcPr>
            <w:tcW w:w="0" w:type="auto"/>
            <w:noWrap/>
            <w:vAlign w:val="bottom"/>
            <w:hideMark/>
          </w:tcPr>
          <w:p w14:paraId="7F86AC9C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EU</w:t>
            </w:r>
          </w:p>
        </w:tc>
        <w:tc>
          <w:tcPr>
            <w:tcW w:w="1164" w:type="dxa"/>
            <w:noWrap/>
            <w:vAlign w:val="bottom"/>
            <w:hideMark/>
          </w:tcPr>
          <w:p w14:paraId="6C98DE5F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Personal data of EU residents</w:t>
            </w:r>
          </w:p>
        </w:tc>
        <w:tc>
          <w:tcPr>
            <w:tcW w:w="1714" w:type="dxa"/>
            <w:noWrap/>
            <w:vAlign w:val="bottom"/>
            <w:hideMark/>
          </w:tcPr>
          <w:p w14:paraId="3F97CC89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Lawful basis; DS rights; DPIA; Transfer rules</w:t>
            </w:r>
          </w:p>
        </w:tc>
        <w:tc>
          <w:tcPr>
            <w:tcW w:w="1112" w:type="dxa"/>
            <w:noWrap/>
            <w:vAlign w:val="bottom"/>
            <w:hideMark/>
          </w:tcPr>
          <w:p w14:paraId="3D8E7E82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C-PRV-01</w:t>
            </w:r>
          </w:p>
        </w:tc>
        <w:tc>
          <w:tcPr>
            <w:tcW w:w="3656" w:type="dxa"/>
            <w:noWrap/>
            <w:vAlign w:val="bottom"/>
            <w:hideMark/>
          </w:tcPr>
          <w:p w14:paraId="1E9819CB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Configure lawful_basis; record ROPA; enable purpose labels</w:t>
            </w:r>
          </w:p>
        </w:tc>
      </w:tr>
      <w:tr w:rsidR="007000C0" w:rsidRPr="007000C0" w14:paraId="5C47DF8D" w14:textId="77777777" w:rsidTr="00F91145">
        <w:trPr>
          <w:trHeight w:val="288"/>
        </w:trPr>
        <w:tc>
          <w:tcPr>
            <w:tcW w:w="0" w:type="auto"/>
            <w:noWrap/>
            <w:vAlign w:val="bottom"/>
            <w:hideMark/>
          </w:tcPr>
          <w:p w14:paraId="5B3F5214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FOIA</w:t>
            </w:r>
          </w:p>
        </w:tc>
        <w:tc>
          <w:tcPr>
            <w:tcW w:w="0" w:type="auto"/>
            <w:noWrap/>
            <w:vAlign w:val="bottom"/>
            <w:hideMark/>
          </w:tcPr>
          <w:p w14:paraId="273CB77D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various</w:t>
            </w:r>
          </w:p>
        </w:tc>
        <w:tc>
          <w:tcPr>
            <w:tcW w:w="1164" w:type="dxa"/>
            <w:noWrap/>
            <w:vAlign w:val="bottom"/>
            <w:hideMark/>
          </w:tcPr>
          <w:p w14:paraId="5F57F14D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Public bodies' records</w:t>
            </w:r>
          </w:p>
        </w:tc>
        <w:tc>
          <w:tcPr>
            <w:tcW w:w="1714" w:type="dxa"/>
            <w:noWrap/>
            <w:vAlign w:val="bottom"/>
            <w:hideMark/>
          </w:tcPr>
          <w:p w14:paraId="4BD10E55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Publication; exemptions; timelines</w:t>
            </w:r>
          </w:p>
        </w:tc>
        <w:tc>
          <w:tcPr>
            <w:tcW w:w="1112" w:type="dxa"/>
            <w:noWrap/>
            <w:vAlign w:val="bottom"/>
            <w:hideMark/>
          </w:tcPr>
          <w:p w14:paraId="2E1FBA48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C-ACC-05</w:t>
            </w:r>
          </w:p>
        </w:tc>
        <w:tc>
          <w:tcPr>
            <w:tcW w:w="3656" w:type="dxa"/>
            <w:noWrap/>
            <w:vAlign w:val="bottom"/>
            <w:hideMark/>
          </w:tcPr>
          <w:p w14:paraId="123A291C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fr-FR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fr-FR" w:eastAsia="en-ZA"/>
              </w:rPr>
              <w:t>Redaction queue; SLA timers; audit export</w:t>
            </w:r>
          </w:p>
        </w:tc>
      </w:tr>
      <w:tr w:rsidR="007000C0" w:rsidRPr="007000C0" w14:paraId="4A727C92" w14:textId="77777777" w:rsidTr="00F91145">
        <w:trPr>
          <w:trHeight w:val="288"/>
        </w:trPr>
        <w:tc>
          <w:tcPr>
            <w:tcW w:w="0" w:type="auto"/>
            <w:noWrap/>
            <w:vAlign w:val="bottom"/>
            <w:hideMark/>
          </w:tcPr>
          <w:p w14:paraId="4C580FE5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HIPAA</w:t>
            </w:r>
          </w:p>
        </w:tc>
        <w:tc>
          <w:tcPr>
            <w:tcW w:w="0" w:type="auto"/>
            <w:noWrap/>
            <w:vAlign w:val="bottom"/>
            <w:hideMark/>
          </w:tcPr>
          <w:p w14:paraId="69669EB4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USA</w:t>
            </w:r>
          </w:p>
        </w:tc>
        <w:tc>
          <w:tcPr>
            <w:tcW w:w="1164" w:type="dxa"/>
            <w:noWrap/>
            <w:vAlign w:val="bottom"/>
            <w:hideMark/>
          </w:tcPr>
          <w:p w14:paraId="20E3496B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PHI / Health data</w:t>
            </w:r>
          </w:p>
        </w:tc>
        <w:tc>
          <w:tcPr>
            <w:tcW w:w="1714" w:type="dxa"/>
            <w:noWrap/>
            <w:vAlign w:val="bottom"/>
            <w:hideMark/>
          </w:tcPr>
          <w:p w14:paraId="4A84422C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BAA; Minimum necessary; breach notification</w:t>
            </w:r>
          </w:p>
        </w:tc>
        <w:tc>
          <w:tcPr>
            <w:tcW w:w="1112" w:type="dxa"/>
            <w:noWrap/>
            <w:vAlign w:val="bottom"/>
            <w:hideMark/>
          </w:tcPr>
          <w:p w14:paraId="4EEB6395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C-SEC-03</w:t>
            </w:r>
          </w:p>
        </w:tc>
        <w:tc>
          <w:tcPr>
            <w:tcW w:w="3656" w:type="dxa"/>
            <w:noWrap/>
            <w:vAlign w:val="bottom"/>
            <w:hideMark/>
          </w:tcPr>
          <w:p w14:paraId="37581D8D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PHI tagging; BAAs; breach timers</w:t>
            </w:r>
          </w:p>
        </w:tc>
      </w:tr>
      <w:tr w:rsidR="007000C0" w:rsidRPr="007000C0" w14:paraId="11FC263A" w14:textId="77777777" w:rsidTr="00F91145">
        <w:trPr>
          <w:trHeight w:val="288"/>
        </w:trPr>
        <w:tc>
          <w:tcPr>
            <w:tcW w:w="0" w:type="auto"/>
            <w:noWrap/>
            <w:vAlign w:val="bottom"/>
            <w:hideMark/>
          </w:tcPr>
          <w:p w14:paraId="2521B86B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POPIA</w:t>
            </w:r>
          </w:p>
        </w:tc>
        <w:tc>
          <w:tcPr>
            <w:tcW w:w="0" w:type="auto"/>
            <w:noWrap/>
            <w:vAlign w:val="bottom"/>
            <w:hideMark/>
          </w:tcPr>
          <w:p w14:paraId="19ACB05F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South Africa</w:t>
            </w:r>
          </w:p>
        </w:tc>
        <w:tc>
          <w:tcPr>
            <w:tcW w:w="1164" w:type="dxa"/>
            <w:noWrap/>
            <w:vAlign w:val="bottom"/>
            <w:hideMark/>
          </w:tcPr>
          <w:p w14:paraId="10F6FBA4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Personal data</w:t>
            </w:r>
          </w:p>
        </w:tc>
        <w:tc>
          <w:tcPr>
            <w:tcW w:w="1714" w:type="dxa"/>
            <w:noWrap/>
            <w:vAlign w:val="bottom"/>
            <w:hideMark/>
          </w:tcPr>
          <w:p w14:paraId="6E206EDC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Processing conditions; rights; accountability</w:t>
            </w:r>
          </w:p>
        </w:tc>
        <w:tc>
          <w:tcPr>
            <w:tcW w:w="1112" w:type="dxa"/>
            <w:noWrap/>
            <w:vAlign w:val="bottom"/>
            <w:hideMark/>
          </w:tcPr>
          <w:p w14:paraId="6D49D52C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ZA" w:eastAsia="en-ZA"/>
              </w:rPr>
              <w:t>C-PRV-01</w:t>
            </w:r>
          </w:p>
        </w:tc>
        <w:tc>
          <w:tcPr>
            <w:tcW w:w="3656" w:type="dxa"/>
            <w:noWrap/>
            <w:vAlign w:val="bottom"/>
            <w:hideMark/>
          </w:tcPr>
          <w:p w14:paraId="4483DE83" w14:textId="77777777" w:rsidR="007000C0" w:rsidRPr="007000C0" w:rsidRDefault="007000C0" w:rsidP="007000C0">
            <w:pPr>
              <w:spacing w:after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fr-FR" w:eastAsia="en-ZA"/>
              </w:rPr>
            </w:pPr>
            <w:r w:rsidRPr="007000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fr-FR" w:eastAsia="en-ZA"/>
              </w:rPr>
              <w:t>Map RoPA; retention controls; DPO</w:t>
            </w:r>
          </w:p>
        </w:tc>
      </w:tr>
    </w:tbl>
    <w:p w14:paraId="4722D4A0" w14:textId="77777777" w:rsidR="00103D64" w:rsidRPr="0077100A" w:rsidRDefault="00103D64" w:rsidP="0041035C">
      <w:pPr>
        <w:pStyle w:val="Heading2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Sample mapping entries (illustrative)</w:t>
      </w:r>
    </w:p>
    <w:p w14:paraId="1E43E408" w14:textId="073E6036" w:rsidR="00103D64" w:rsidRPr="0077100A" w:rsidRDefault="00103D64" w:rsidP="0041035C">
      <w:pPr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C30DE0">
        <w:rPr>
          <w:b/>
          <w:bCs/>
          <w:lang w:val="en-ZA"/>
        </w:rPr>
        <w:t xml:space="preserve">control_id: </w:t>
      </w:r>
      <w:r w:rsidRPr="0077100A">
        <w:rPr>
          <w:lang w:val="en-ZA"/>
        </w:rPr>
        <w:t>C-PRV-01 control_name: Lawful Basis &amp; Purpose Limitation obligation: GDPR</w:t>
      </w:r>
      <w:r w:rsidR="00C30DE0">
        <w:rPr>
          <w:lang w:val="en-ZA"/>
        </w:rPr>
        <w:t>;</w:t>
      </w:r>
      <w:r w:rsidRPr="0077100A">
        <w:rPr>
          <w:lang w:val="en-ZA"/>
        </w:rPr>
        <w:t xml:space="preserve"> lawful basis required for processing personal data; consent or legitimate </w:t>
      </w:r>
      <w:r w:rsidRPr="0077100A">
        <w:rPr>
          <w:lang w:val="en-ZA"/>
        </w:rPr>
        <w:lastRenderedPageBreak/>
        <w:t>interest; purpose limitation recommended_config: Require configured lawful_basis per dataset; record ROPA entry; enable purpose labels on ingest</w:t>
      </w:r>
    </w:p>
    <w:p w14:paraId="2D8FBB95" w14:textId="49B9B81C" w:rsidR="00103D64" w:rsidRPr="0077100A" w:rsidRDefault="00103D64" w:rsidP="0041035C">
      <w:pPr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C30DE0">
        <w:rPr>
          <w:b/>
          <w:bCs/>
          <w:lang w:val="en-ZA"/>
        </w:rPr>
        <w:t>control_id:</w:t>
      </w:r>
      <w:r w:rsidRPr="0077100A">
        <w:rPr>
          <w:lang w:val="en-ZA"/>
        </w:rPr>
        <w:t xml:space="preserve"> C-RES-02 control_name: Data Residency Constraint obligation: GDPR</w:t>
      </w:r>
      <w:r w:rsidR="00C30DE0">
        <w:rPr>
          <w:lang w:val="en-ZA"/>
        </w:rPr>
        <w:t>;</w:t>
      </w:r>
      <w:r w:rsidRPr="0077100A">
        <w:rPr>
          <w:lang w:val="en-ZA"/>
        </w:rPr>
        <w:t xml:space="preserve"> restrict transfers outside EU without adequate safeguards recommended_config: Multi-region deployment flag; enable encryption-in-transit/at-rest and configure cross-region replication policy</w:t>
      </w:r>
    </w:p>
    <w:p w14:paraId="7E1C1133" w14:textId="7011570D" w:rsidR="00103D64" w:rsidRPr="0077100A" w:rsidRDefault="00103D64" w:rsidP="0041035C">
      <w:pPr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C30DE0">
        <w:rPr>
          <w:b/>
          <w:bCs/>
          <w:lang w:val="en-ZA"/>
        </w:rPr>
        <w:t>control_id:</w:t>
      </w:r>
      <w:r w:rsidRPr="0077100A">
        <w:rPr>
          <w:lang w:val="en-ZA"/>
        </w:rPr>
        <w:t xml:space="preserve"> C-ACC-05 control_name: FOI / Access Request Handling obligation: FOI</w:t>
      </w:r>
      <w:r w:rsidR="00C30DE0">
        <w:rPr>
          <w:lang w:val="en-ZA"/>
        </w:rPr>
        <w:t>;</w:t>
      </w:r>
      <w:r w:rsidRPr="0077100A">
        <w:rPr>
          <w:lang w:val="en-ZA"/>
        </w:rPr>
        <w:t xml:space="preserve"> respond within statutory timeline; publish non-exempt records recommended_config: Request workflow, redaction queue, SLA timers, audit trail and export for publication</w:t>
      </w:r>
    </w:p>
    <w:p w14:paraId="15CCDC13" w14:textId="77777777" w:rsidR="00103D64" w:rsidRPr="00E238CB" w:rsidRDefault="00103D64" w:rsidP="0041035C">
      <w:pPr>
        <w:pStyle w:val="Heading2"/>
        <w:spacing w:line="360" w:lineRule="auto"/>
        <w:jc w:val="both"/>
        <w:rPr>
          <w:b/>
          <w:bCs/>
          <w:lang w:val="en-ZA"/>
        </w:rPr>
      </w:pPr>
      <w:r w:rsidRPr="00E238CB">
        <w:rPr>
          <w:b/>
          <w:bCs/>
          <w:lang w:val="en-ZA"/>
        </w:rPr>
        <w:t>Annex: Regime-specific templates</w:t>
      </w:r>
    </w:p>
    <w:p w14:paraId="2D6D6A6D" w14:textId="77777777" w:rsidR="00E238CB" w:rsidRDefault="00103D64" w:rsidP="0041035C">
      <w:pPr>
        <w:pStyle w:val="Heading3"/>
        <w:spacing w:line="360" w:lineRule="auto"/>
        <w:jc w:val="both"/>
        <w:rPr>
          <w:lang w:val="en-ZA"/>
        </w:rPr>
      </w:pPr>
      <w:r w:rsidRPr="00E238CB">
        <w:rPr>
          <w:b/>
          <w:bCs/>
          <w:lang w:val="en-ZA"/>
        </w:rPr>
        <w:t>GDPR (EU)</w:t>
      </w:r>
      <w:r w:rsidR="00E238CB" w:rsidRPr="00E238CB">
        <w:rPr>
          <w:b/>
          <w:bCs/>
          <w:lang w:val="en-ZA"/>
        </w:rPr>
        <w:t>:</w:t>
      </w:r>
      <w:r w:rsidRPr="0077100A">
        <w:rPr>
          <w:lang w:val="en-ZA"/>
        </w:rPr>
        <w:t xml:space="preserve"> Template notes </w:t>
      </w:r>
    </w:p>
    <w:p w14:paraId="2B3477DA" w14:textId="16E6C056" w:rsidR="00E238CB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Data protection officer (DPO) required? [Yes/No] </w:t>
      </w:r>
    </w:p>
    <w:p w14:paraId="4F524496" w14:textId="77777777" w:rsidR="00E238CB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Record of processing activities (RoPA) required: map datasets to RoPA entries </w:t>
      </w:r>
    </w:p>
    <w:p w14:paraId="76B964F6" w14:textId="77777777" w:rsidR="00E238CB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- Data subject rights: access, rectification, erasure, restriction, data portability, objection</w:t>
      </w:r>
      <w:r w:rsidR="00E238CB">
        <w:rPr>
          <w:lang w:val="en-ZA"/>
        </w:rPr>
        <w:t>;</w:t>
      </w:r>
      <w:r w:rsidRPr="0077100A">
        <w:rPr>
          <w:lang w:val="en-ZA"/>
        </w:rPr>
        <w:t xml:space="preserve"> implement workflows and SLA tracking </w:t>
      </w:r>
    </w:p>
    <w:p w14:paraId="7568B6E5" w14:textId="77777777" w:rsidR="007A6DD1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Data transfers: identify cross-border flows and apply Standard Contractual Clauses (SCCs) or other safeguards </w:t>
      </w:r>
    </w:p>
    <w:p w14:paraId="11DF68EA" w14:textId="432ECC84" w:rsidR="00E238CB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DPIA: require DPIA for large-scale processing or special categories </w:t>
      </w:r>
    </w:p>
    <w:p w14:paraId="6F2372D5" w14:textId="416319BE" w:rsidR="00103D64" w:rsidRPr="0077100A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- Fines / sanctions: include legal hold and retention overrides for litigation</w:t>
      </w:r>
    </w:p>
    <w:p w14:paraId="2C1BBB6C" w14:textId="77777777" w:rsidR="008275F0" w:rsidRDefault="00103D64" w:rsidP="0041035C">
      <w:pPr>
        <w:pStyle w:val="Heading3"/>
        <w:spacing w:line="360" w:lineRule="auto"/>
        <w:jc w:val="both"/>
        <w:rPr>
          <w:lang w:val="en-ZA"/>
        </w:rPr>
      </w:pPr>
      <w:r w:rsidRPr="00E238CB">
        <w:rPr>
          <w:b/>
          <w:bCs/>
          <w:lang w:val="en-ZA"/>
        </w:rPr>
        <w:t>FOIA-style (Public Access)</w:t>
      </w:r>
      <w:r w:rsidR="00E238CB" w:rsidRPr="00E238CB">
        <w:rPr>
          <w:b/>
          <w:bCs/>
          <w:lang w:val="en-ZA"/>
        </w:rPr>
        <w:t>:</w:t>
      </w:r>
      <w:r w:rsidRPr="0077100A">
        <w:rPr>
          <w:lang w:val="en-ZA"/>
        </w:rPr>
        <w:t xml:space="preserve"> Template notes </w:t>
      </w:r>
    </w:p>
    <w:p w14:paraId="62231574" w14:textId="77777777" w:rsidR="008275F0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Public bodies must publish or provide access unless an exemption applies </w:t>
      </w:r>
    </w:p>
    <w:p w14:paraId="14D92E5F" w14:textId="77777777" w:rsidR="008275F0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Exemptions and redaction: configure redaction workflows and reviewer roles </w:t>
      </w:r>
    </w:p>
    <w:p w14:paraId="3DF93C7B" w14:textId="76FAF6C0" w:rsidR="00103D64" w:rsidRPr="0077100A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- Timelines: configure intake-and-response SLA timers and audit-proof evidence of response</w:t>
      </w:r>
    </w:p>
    <w:p w14:paraId="7B852569" w14:textId="77777777" w:rsidR="008275F0" w:rsidRDefault="00103D64" w:rsidP="0041035C">
      <w:pPr>
        <w:pStyle w:val="Heading3"/>
        <w:spacing w:line="360" w:lineRule="auto"/>
        <w:jc w:val="both"/>
        <w:rPr>
          <w:lang w:val="en-ZA"/>
        </w:rPr>
      </w:pPr>
      <w:r w:rsidRPr="008275F0">
        <w:rPr>
          <w:b/>
          <w:bCs/>
          <w:lang w:val="en-ZA"/>
        </w:rPr>
        <w:lastRenderedPageBreak/>
        <w:t>HIPAA (US health)</w:t>
      </w:r>
      <w:r w:rsidR="008275F0" w:rsidRPr="008275F0">
        <w:rPr>
          <w:b/>
          <w:bCs/>
          <w:lang w:val="en-ZA"/>
        </w:rPr>
        <w:t>:</w:t>
      </w:r>
      <w:r w:rsidRPr="0077100A">
        <w:rPr>
          <w:lang w:val="en-ZA"/>
        </w:rPr>
        <w:t xml:space="preserve"> Template notes </w:t>
      </w:r>
    </w:p>
    <w:p w14:paraId="19F1B0CE" w14:textId="77777777" w:rsidR="008275F0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PHI tagging required; minimum-necessary principle applied to queries and exports </w:t>
      </w:r>
    </w:p>
    <w:p w14:paraId="114E9197" w14:textId="77777777" w:rsidR="008275F0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Business Associate Agreement (BAA) required with vendors processing PHI </w:t>
      </w:r>
    </w:p>
    <w:p w14:paraId="1D921221" w14:textId="68188FB9" w:rsidR="00103D64" w:rsidRPr="0077100A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- Breach notification windows: no later than 60 calendar days for individual notice (large breaches also notify the regulator and media within 60 days; smaller breaches are reported to the regulator annually)</w:t>
      </w:r>
    </w:p>
    <w:p w14:paraId="1E595CE9" w14:textId="77777777" w:rsidR="00491F2B" w:rsidRDefault="00103D64" w:rsidP="0041035C">
      <w:pPr>
        <w:pStyle w:val="Heading3"/>
        <w:spacing w:line="360" w:lineRule="auto"/>
        <w:jc w:val="both"/>
        <w:rPr>
          <w:lang w:val="en-ZA"/>
        </w:rPr>
      </w:pPr>
      <w:r w:rsidRPr="00491F2B">
        <w:rPr>
          <w:b/>
          <w:bCs/>
          <w:lang w:val="en-ZA"/>
        </w:rPr>
        <w:t>POPIA (South Africa)</w:t>
      </w:r>
      <w:r w:rsidR="00491F2B" w:rsidRPr="00491F2B">
        <w:rPr>
          <w:b/>
          <w:bCs/>
          <w:lang w:val="en-ZA"/>
        </w:rPr>
        <w:t>:</w:t>
      </w:r>
      <w:r w:rsidRPr="0077100A">
        <w:rPr>
          <w:lang w:val="en-ZA"/>
        </w:rPr>
        <w:t xml:space="preserve"> Template notes </w:t>
      </w:r>
    </w:p>
    <w:p w14:paraId="7DE4390F" w14:textId="77777777" w:rsidR="00491F2B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 xml:space="preserve">- Conditions for lawful processing; data subject rights </w:t>
      </w:r>
      <w:r w:rsidR="00A10C76" w:rsidRPr="0077100A">
        <w:rPr>
          <w:lang w:val="en-ZA"/>
        </w:rPr>
        <w:t>like</w:t>
      </w:r>
      <w:r w:rsidRPr="0077100A">
        <w:rPr>
          <w:lang w:val="en-ZA"/>
        </w:rPr>
        <w:t xml:space="preserve"> GDPR but local distinctions </w:t>
      </w:r>
    </w:p>
    <w:p w14:paraId="07CE2E7E" w14:textId="654E0A0B" w:rsidR="00103D64" w:rsidRPr="0077100A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- Accountability and retention: register processing activities where required</w:t>
      </w:r>
    </w:p>
    <w:p w14:paraId="0BDA5B96" w14:textId="77777777" w:rsidR="00103D64" w:rsidRPr="00A10C76" w:rsidRDefault="00103D64" w:rsidP="0041035C">
      <w:pPr>
        <w:pStyle w:val="Heading2"/>
        <w:spacing w:line="360" w:lineRule="auto"/>
        <w:jc w:val="both"/>
        <w:rPr>
          <w:b/>
          <w:bCs/>
          <w:lang w:val="en-ZA"/>
        </w:rPr>
      </w:pPr>
      <w:r w:rsidRPr="00A10C76">
        <w:rPr>
          <w:b/>
          <w:bCs/>
          <w:lang w:val="en-ZA"/>
        </w:rPr>
        <w:t>Checklist (quick)</w:t>
      </w:r>
    </w:p>
    <w:p w14:paraId="52F84BBA" w14:textId="2198A97E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Has each dataset been mapped to at least one legal regime and control in the spreadsheet?</w:t>
      </w:r>
    </w:p>
    <w:p w14:paraId="1A7E0E4A" w14:textId="5648CD24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Are data residency and cross-border transfer constraints recorded and enforced?</w:t>
      </w:r>
    </w:p>
    <w:p w14:paraId="70F7000D" w14:textId="174D06A2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Is there a redaction/release workflow for FOI requests with auditor role?</w:t>
      </w:r>
    </w:p>
    <w:p w14:paraId="4EC9E463" w14:textId="18552723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Are DPIAs/Risk Assessments required and linked to ingestion pipelines?</w:t>
      </w:r>
    </w:p>
    <w:p w14:paraId="324B98EF" w14:textId="2EDD9EF0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Are breach-notification timers and contact roles configured?</w:t>
      </w:r>
    </w:p>
    <w:p w14:paraId="1936E30A" w14:textId="0419C471" w:rsidR="00103D64" w:rsidRPr="0077100A" w:rsidRDefault="00103D64" w:rsidP="0041035C">
      <w:pPr>
        <w:pStyle w:val="Compact"/>
        <w:numPr>
          <w:ilvl w:val="0"/>
          <w:numId w:val="2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Are vendor contractual requirements (BAA, data processing addendum) recorded in procurement docs?</w:t>
      </w:r>
    </w:p>
    <w:p w14:paraId="69B0C4C8" w14:textId="77777777" w:rsidR="00103D64" w:rsidRPr="00A10C76" w:rsidRDefault="00103D64" w:rsidP="0041035C">
      <w:pPr>
        <w:pStyle w:val="Heading2"/>
        <w:spacing w:line="360" w:lineRule="auto"/>
        <w:jc w:val="both"/>
        <w:rPr>
          <w:b/>
          <w:bCs/>
          <w:lang w:val="en-ZA"/>
        </w:rPr>
      </w:pPr>
      <w:r w:rsidRPr="00A10C76">
        <w:rPr>
          <w:b/>
          <w:bCs/>
          <w:lang w:val="en-ZA"/>
        </w:rPr>
        <w:t>Appendix: Example procurement clause (short)</w:t>
      </w:r>
    </w:p>
    <w:p w14:paraId="3D7A17CE" w14:textId="77777777" w:rsidR="00103D64" w:rsidRPr="0077100A" w:rsidRDefault="00103D64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Vendor shall: maintain documented compliance with applicable data protection laws for the jurisdictions where the service is used; provide exportable evidence of processing activities, signed confidentiality and data processing agreements, and support data deletion/erasure on customer request within contracted timelines.</w:t>
      </w:r>
    </w:p>
    <w:p w14:paraId="022BFD08" w14:textId="6A597797" w:rsidR="00CC7C30" w:rsidRPr="0077100A" w:rsidRDefault="00CC7C30" w:rsidP="0041035C">
      <w:pPr>
        <w:spacing w:line="360" w:lineRule="auto"/>
        <w:rPr>
          <w:lang w:val="en-ZA"/>
        </w:rPr>
      </w:pPr>
      <w:r w:rsidRPr="0077100A">
        <w:rPr>
          <w:lang w:val="en-ZA"/>
        </w:rPr>
        <w:br w:type="page"/>
      </w:r>
    </w:p>
    <w:p w14:paraId="4FF134FB" w14:textId="7DB9DF91" w:rsidR="0077100A" w:rsidRPr="0077100A" w:rsidRDefault="0077100A" w:rsidP="0041035C">
      <w:pPr>
        <w:pStyle w:val="Heading1"/>
        <w:spacing w:line="360" w:lineRule="auto"/>
        <w:rPr>
          <w:lang w:val="en-ZA"/>
        </w:rPr>
      </w:pPr>
      <w:r w:rsidRPr="0077100A">
        <w:rPr>
          <w:lang w:val="en-ZA"/>
        </w:rPr>
        <w:lastRenderedPageBreak/>
        <w:t>Pilot Procurement Requirements</w:t>
      </w:r>
    </w:p>
    <w:p w14:paraId="4E533116" w14:textId="77777777" w:rsidR="00CC7C30" w:rsidRPr="0077100A" w:rsidRDefault="00CC7C30" w:rsidP="0041035C">
      <w:pPr>
        <w:pStyle w:val="Heading2"/>
        <w:spacing w:line="360" w:lineRule="auto"/>
        <w:rPr>
          <w:b/>
          <w:bCs/>
          <w:lang w:val="en-ZA"/>
        </w:rPr>
      </w:pPr>
      <w:r w:rsidRPr="0077100A">
        <w:rPr>
          <w:b/>
          <w:bCs/>
          <w:lang w:val="en-ZA"/>
        </w:rPr>
        <w:t>Purpose</w:t>
      </w:r>
    </w:p>
    <w:p w14:paraId="688EF06E" w14:textId="77777777" w:rsidR="00CC7C30" w:rsidRPr="0077100A" w:rsidRDefault="00CC7C3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This annex operationalises the Heratio Industry Framework into procurement requirements, vendor acceptance tests and a vendor checklist for a pilot deployment. Use as an appendix to a standard RFP or as a standalone procurement brief for pilot vendors.</w:t>
      </w:r>
    </w:p>
    <w:p w14:paraId="4EAAAB30" w14:textId="77777777" w:rsidR="00CC7C30" w:rsidRPr="0077100A" w:rsidRDefault="00CC7C30" w:rsidP="0041035C">
      <w:pPr>
        <w:pStyle w:val="Heading2"/>
        <w:numPr>
          <w:ilvl w:val="0"/>
          <w:numId w:val="28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Pilot scope</w:t>
      </w:r>
    </w:p>
    <w:p w14:paraId="04763A9D" w14:textId="43DCAE3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Pilot corpus: [to be filled by procuring organisation]</w:t>
      </w:r>
      <w:r w:rsidR="00A966A1">
        <w:rPr>
          <w:lang w:val="en-ZA"/>
        </w:rPr>
        <w:t>;</w:t>
      </w:r>
      <w:r w:rsidRPr="0077100A">
        <w:rPr>
          <w:lang w:val="en-ZA"/>
        </w:rPr>
        <w:t xml:space="preserve"> recommend a 10k–50k document subset representative of the estate (mixed formats, structured/unstructured, scanned PDFs, email exports).</w:t>
      </w:r>
    </w:p>
    <w:p w14:paraId="46B35B46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Pilot duration: 3 months (12 weeks) active testing + 4 weeks evaluation/reporting.</w:t>
      </w:r>
    </w:p>
    <w:p w14:paraId="69C155C8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Key outcomes: measurable improvement in time-to-discovery (target: 30–60% reduction), classification precision &gt;= 0.85 for target categories, access-to-information (freedom-of-information) response SLA improvement to &lt;= 10 days.</w:t>
      </w:r>
    </w:p>
    <w:p w14:paraId="3904D331" w14:textId="77777777" w:rsidR="00CC7C30" w:rsidRPr="0077100A" w:rsidRDefault="00CC7C30" w:rsidP="0041035C">
      <w:pPr>
        <w:pStyle w:val="Heading2"/>
        <w:numPr>
          <w:ilvl w:val="0"/>
          <w:numId w:val="29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Mandatory functional requirements</w:t>
      </w:r>
    </w:p>
    <w:p w14:paraId="0926CA1B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Read-only connector to source stores (SMB/NFS/SharePoint/IMAP) with incremental scanning and audit logging.</w:t>
      </w:r>
    </w:p>
    <w:p w14:paraId="30243657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Ingest API: POST /api/ingest accepting metadata and queue_for_ingest flag; support bulk manifest uploads.</w:t>
      </w:r>
    </w:p>
    <w:p w14:paraId="78457AD9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Provenance capture for every processing step (JSON schema provided in the framework appendix). Must record: processor name/version, timestamps, inputs/outputs, confidence scores and reviewer events.</w:t>
      </w:r>
    </w:p>
    <w:p w14:paraId="1C86CF78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OCR pipeline with layout-aware extraction and page/offset provenance.</w:t>
      </w:r>
    </w:p>
    <w:p w14:paraId="7AD1F326" w14:textId="0AF4864C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 xml:space="preserve">Entity extraction (NER) and classification modules with configurable confidence thresholds and a review queue for </w:t>
      </w:r>
      <w:r w:rsidR="00A10C76" w:rsidRPr="0077100A">
        <w:rPr>
          <w:lang w:val="en-ZA"/>
        </w:rPr>
        <w:t>low confidence</w:t>
      </w:r>
      <w:r w:rsidRPr="0077100A">
        <w:rPr>
          <w:lang w:val="en-ZA"/>
        </w:rPr>
        <w:t>/high-risk items.</w:t>
      </w:r>
    </w:p>
    <w:p w14:paraId="636A00B9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Sensitivity/PII detection with policy-driven redaction or limited indexing options.</w:t>
      </w:r>
    </w:p>
    <w:p w14:paraId="74AAA63A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lastRenderedPageBreak/>
        <w:t>Human-in-the-loop review dashboard with assign/claim/complete workflow, diff viewer, and bulk-approved actions.</w:t>
      </w:r>
    </w:p>
    <w:p w14:paraId="51B7E3EC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Model registry or metadata store recording model_name, model_version, training_date, evaluation_metrics, and training_data_origin.</w:t>
      </w:r>
    </w:p>
    <w:p w14:paraId="16AFC175" w14:textId="77777777" w:rsidR="00CC7C30" w:rsidRPr="0077100A" w:rsidRDefault="00CC7C30" w:rsidP="0041035C">
      <w:pPr>
        <w:pStyle w:val="Heading2"/>
        <w:numPr>
          <w:ilvl w:val="0"/>
          <w:numId w:val="30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Non-functional requirements</w:t>
      </w:r>
    </w:p>
    <w:p w14:paraId="6F9D6E7B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Deployment: support for on-prem and hybrid (no outbound storage of raw documents without signed agreement).</w:t>
      </w:r>
    </w:p>
    <w:p w14:paraId="05A461BE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Security: TLS for all endpoints, RBAC for reviewers, encrypted at rest, audit log immutability (append-only storage recommended).</w:t>
      </w:r>
    </w:p>
    <w:p w14:paraId="0E466FA6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Performance: processing throughput baseline for pilot corpus (e.g. OCR + NER &lt;= 1 minute/document average on pilot infra spec; provide sizing guidance).</w:t>
      </w:r>
    </w:p>
    <w:p w14:paraId="3F35DA91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Backups and retention of provenance records for statutory retention windows.</w:t>
      </w:r>
    </w:p>
    <w:p w14:paraId="100ECD69" w14:textId="77777777" w:rsidR="00CC7C30" w:rsidRPr="0077100A" w:rsidRDefault="00CC7C30" w:rsidP="0041035C">
      <w:pPr>
        <w:pStyle w:val="Heading2"/>
        <w:numPr>
          <w:ilvl w:val="0"/>
          <w:numId w:val="31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Acceptance tests (must be demonstrated during pilot)</w:t>
      </w:r>
    </w:p>
    <w:p w14:paraId="22EAFBBB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Ingest manifest: upload a manifest of 1000 files with queue_for_ingest set; confirm all files are queued and provenance entries created.</w:t>
      </w:r>
    </w:p>
    <w:p w14:paraId="2BC7EC75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OCR fidelity: run OCR on 50 scanned documents; measure character accuracy and show provenance linking OCR outputs to source pages.</w:t>
      </w:r>
    </w:p>
    <w:p w14:paraId="2FC70ED6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Classification accuracy: vendor submits evaluation CSV; measured precision/recall meets thresholds for target categories.</w:t>
      </w:r>
    </w:p>
    <w:p w14:paraId="0290E26A" w14:textId="65B832FE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Review workflow: create 200 review jobs (</w:t>
      </w:r>
      <w:r w:rsidR="00CF5EF7" w:rsidRPr="0077100A">
        <w:rPr>
          <w:lang w:val="en-ZA"/>
        </w:rPr>
        <w:t>low confidence</w:t>
      </w:r>
      <w:r w:rsidRPr="0077100A">
        <w:rPr>
          <w:lang w:val="en-ZA"/>
        </w:rPr>
        <w:t>); reviewers must be able to resolve 95% within the UI with exportable audit reports.</w:t>
      </w:r>
    </w:p>
    <w:p w14:paraId="0B4AB89B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Access-to-information scenario test: locate 20 named-record requests within SLA and provide export of the provenance chain for each located record.</w:t>
      </w:r>
    </w:p>
    <w:p w14:paraId="4C98B959" w14:textId="77777777" w:rsidR="00CC7C30" w:rsidRPr="0077100A" w:rsidRDefault="00CC7C30" w:rsidP="0041035C">
      <w:pPr>
        <w:pStyle w:val="Heading2"/>
        <w:numPr>
          <w:ilvl w:val="0"/>
          <w:numId w:val="32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Vendor checklist</w:t>
      </w:r>
    </w:p>
    <w:p w14:paraId="1A0B6E28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Provide a technical design that maps to the Heratio layered architecture.</w:t>
      </w:r>
    </w:p>
    <w:p w14:paraId="438DAF20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Demonstrate model governance and retraining plan.</w:t>
      </w:r>
    </w:p>
    <w:p w14:paraId="2D843A1D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Provide a deployment and rollback plan and a maintenance SLA.</w:t>
      </w:r>
    </w:p>
    <w:p w14:paraId="44B63C0F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Provide evidence of data-protection and access-to-information compliance controls for the target jurisdiction(s).</w:t>
      </w:r>
    </w:p>
    <w:p w14:paraId="1E2AD6E8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Provide references to prior deployments of similar scale (if any).</w:t>
      </w:r>
    </w:p>
    <w:p w14:paraId="6C833262" w14:textId="77777777" w:rsidR="00CC7C30" w:rsidRPr="0077100A" w:rsidRDefault="00CC7C30" w:rsidP="0041035C">
      <w:pPr>
        <w:pStyle w:val="Heading2"/>
        <w:numPr>
          <w:ilvl w:val="0"/>
          <w:numId w:val="33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lastRenderedPageBreak/>
        <w:t>Procurement scoring matrix (example)</w:t>
      </w:r>
    </w:p>
    <w:p w14:paraId="0030CAF9" w14:textId="632D2160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Functional fit (40%)</w:t>
      </w:r>
      <w:r w:rsidR="006F363B">
        <w:rPr>
          <w:lang w:val="en-ZA"/>
        </w:rPr>
        <w:t>;</w:t>
      </w:r>
      <w:r w:rsidRPr="0077100A">
        <w:rPr>
          <w:lang w:val="en-ZA"/>
        </w:rPr>
        <w:t xml:space="preserve"> how well the solution meets mandatory functional requirements.</w:t>
      </w:r>
    </w:p>
    <w:p w14:paraId="6AE75F30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Security &amp; compliance (20%).</w:t>
      </w:r>
    </w:p>
    <w:p w14:paraId="493B9F23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Performance &amp; scalability (15%).</w:t>
      </w:r>
    </w:p>
    <w:p w14:paraId="0F54DCC2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Implementation plan &amp; support (15%).</w:t>
      </w:r>
    </w:p>
    <w:p w14:paraId="45A5A630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Cost &amp; TCO (10%).</w:t>
      </w:r>
    </w:p>
    <w:p w14:paraId="7EE5639D" w14:textId="77777777" w:rsidR="00CC7C30" w:rsidRPr="0077100A" w:rsidRDefault="00CC7C30" w:rsidP="0041035C">
      <w:pPr>
        <w:pStyle w:val="Heading2"/>
        <w:numPr>
          <w:ilvl w:val="0"/>
          <w:numId w:val="26"/>
        </w:numPr>
        <w:spacing w:line="360" w:lineRule="auto"/>
        <w:jc w:val="both"/>
        <w:rPr>
          <w:lang w:val="en-ZA"/>
        </w:rPr>
      </w:pPr>
      <w:r w:rsidRPr="0077100A">
        <w:rPr>
          <w:lang w:val="en-ZA"/>
        </w:rPr>
        <w:t>Deliverables during pilot</w:t>
      </w:r>
    </w:p>
    <w:p w14:paraId="412B789E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Weekly processing reports (ingest counts, review backlog, model metrics).</w:t>
      </w:r>
    </w:p>
    <w:p w14:paraId="3BBF2588" w14:textId="77777777" w:rsidR="00CC7C30" w:rsidRPr="0077100A" w:rsidRDefault="00CC7C30" w:rsidP="0041035C">
      <w:pPr>
        <w:pStyle w:val="Compact"/>
        <w:numPr>
          <w:ilvl w:val="0"/>
          <w:numId w:val="2"/>
        </w:numPr>
        <w:spacing w:line="360" w:lineRule="auto"/>
        <w:ind w:left="1134" w:hanging="436"/>
        <w:jc w:val="both"/>
        <w:rPr>
          <w:lang w:val="en-ZA"/>
        </w:rPr>
      </w:pPr>
      <w:r w:rsidRPr="0077100A">
        <w:rPr>
          <w:lang w:val="en-ZA"/>
        </w:rPr>
        <w:t>Final evaluation report including measured KPIs, lessons learned and recommended production steps.</w:t>
      </w:r>
    </w:p>
    <w:p w14:paraId="2F0FADF8" w14:textId="77777777" w:rsidR="00CC7C30" w:rsidRPr="002759B1" w:rsidRDefault="00CC7C30" w:rsidP="0041035C">
      <w:pPr>
        <w:pStyle w:val="Heading2"/>
        <w:spacing w:line="360" w:lineRule="auto"/>
        <w:jc w:val="both"/>
        <w:rPr>
          <w:b/>
          <w:bCs/>
          <w:lang w:val="fr-FR"/>
        </w:rPr>
      </w:pPr>
      <w:r w:rsidRPr="002759B1">
        <w:rPr>
          <w:b/>
          <w:bCs/>
          <w:lang w:val="fr-FR"/>
        </w:rPr>
        <w:t>Appendix: sample ingest manifest (JSON)</w:t>
      </w:r>
    </w:p>
    <w:p w14:paraId="0791DB96" w14:textId="77777777" w:rsidR="00CC7C30" w:rsidRPr="0077100A" w:rsidRDefault="00CC7C30" w:rsidP="0041035C">
      <w:pPr>
        <w:pStyle w:val="BodyText"/>
        <w:spacing w:line="360" w:lineRule="auto"/>
        <w:jc w:val="both"/>
        <w:rPr>
          <w:lang w:val="en-ZA"/>
        </w:rPr>
      </w:pPr>
      <w:r w:rsidRPr="0077100A">
        <w:rPr>
          <w:lang w:val="en-ZA"/>
        </w:rPr>
        <w:t>[ { "source_path": "\\fileshare\projects\docs\doc1.pdf", "uploader": "user@example.org", "queue_for_ingest": true, "metadata": {"project": "finance", "retention": "7 years"} }]</w:t>
      </w:r>
    </w:p>
    <w:p w14:paraId="054DCF79" w14:textId="77777777" w:rsidR="005C044A" w:rsidRPr="0077100A" w:rsidRDefault="005C044A" w:rsidP="0041035C">
      <w:pPr>
        <w:spacing w:line="360" w:lineRule="auto"/>
        <w:jc w:val="both"/>
        <w:rPr>
          <w:lang w:val="en-ZA"/>
        </w:rPr>
      </w:pPr>
    </w:p>
    <w:p/>
    <w:p>
      <w:pPr>
        <w:pStyle w:val="Heading1"/>
      </w:pPr>
      <w:r>
        <w:rPr>
          <w:b/>
          <w:sz w:val="26"/>
        </w:rPr>
        <w:t>Annex: Recommended diagrams (names, purpose and placement)</w:t>
      </w:r>
    </w:p>
    <w:p>
      <w:pPr>
        <w:pStyle w:val="BodyText"/>
      </w:pPr>
      <w:r>
        <w:t>The framework is written for a mixed international audience of AI specialists and non-specialist records, legal and executive readers. The figures below are designed to carry the argument visually for both: each entry gives the figure name, the diagram type, what it shows, who it helps most, and exactly where it belongs. Numbers match the in-text placeholders. Diagrams are intentionally tool-agnostic so they can be drawn in any diagramming tool.</w:t>
      </w:r>
    </w:p>
    <w:p>
      <w:r>
        <w:rPr>
          <w:b/>
        </w:rPr>
        <w:t>Figure 1 - The problem and the outcome (conceptual)</w:t>
      </w:r>
    </w:p>
    <w:p>
      <w:pPr>
        <w:pStyle w:val="Compact"/>
      </w:pPr>
      <w:r>
        <w:rPr>
          <w:b/>
        </w:rPr>
        <w:t xml:space="preserve">Type: </w:t>
      </w:r>
      <w:r>
        <w:t>Conceptual before/after illustration</w:t>
      </w:r>
      <w:r>
        <w:br/>
      </w:r>
      <w:r>
        <w:rPr>
          <w:b/>
        </w:rPr>
        <w:t xml:space="preserve">Shows: </w:t>
      </w:r>
      <w:r>
        <w:t>On the left, scattered shared drives, email stores and scanned boxes; on the right, the same content as a single governed, searchable, accountable archive.</w:t>
      </w:r>
      <w:r>
        <w:br/>
      </w:r>
      <w:r>
        <w:rPr>
          <w:b/>
        </w:rPr>
        <w:t xml:space="preserve">For: </w:t>
      </w:r>
      <w:r>
        <w:t>Primarily lay readers and executives - sets the 'why' in one glance; experts read it as scope.</w:t>
      </w:r>
      <w:r>
        <w:br/>
      </w:r>
      <w:r>
        <w:rPr>
          <w:b/>
        </w:rPr>
        <w:t xml:space="preserve">Place: </w:t>
      </w:r>
      <w:r>
        <w:t>After the Executive summary, as the opening visual.</w:t>
      </w:r>
    </w:p>
    <w:p>
      <w:r>
        <w:rPr>
          <w:b/>
        </w:rPr>
        <w:t>Figure 2 - Layered reference architecture</w:t>
      </w:r>
    </w:p>
    <w:p>
      <w:pPr>
        <w:pStyle w:val="Compact"/>
      </w:pPr>
      <w:r>
        <w:rPr>
          <w:b/>
        </w:rPr>
        <w:t xml:space="preserve">Type: </w:t>
      </w:r>
      <w:r>
        <w:t>Stacked layer (block) diagram - six horizontal layers</w:t>
      </w:r>
      <w:r>
        <w:br/>
      </w:r>
      <w:r>
        <w:rPr>
          <w:b/>
        </w:rPr>
        <w:t xml:space="preserve">Shows: </w:t>
      </w:r>
      <w:r>
        <w:t>The six layers (Regulatory &amp; policy, Governance, Ingest &amp; provenance, Intelligence, Control &amp; lifecycle, Human UX &amp; review) with policy/control flowing down and evidence/provenance flowing up.</w:t>
      </w:r>
      <w:r>
        <w:br/>
      </w:r>
      <w:r>
        <w:rPr>
          <w:b/>
        </w:rPr>
        <w:t xml:space="preserve">For: </w:t>
      </w:r>
      <w:r>
        <w:t>Experts see the stack; lay readers see labelled boxes and direction of flow.</w:t>
      </w:r>
      <w:r>
        <w:br/>
      </w:r>
      <w:r>
        <w:rPr>
          <w:b/>
        </w:rPr>
        <w:t xml:space="preserve">Place: </w:t>
      </w:r>
      <w:r>
        <w:t>Directly under the 'Architecture (industry view)' heading.</w:t>
      </w:r>
    </w:p>
    <w:p>
      <w:r>
        <w:rPr>
          <w:b/>
        </w:rPr>
        <w:t>Figure 3 - Ingest-to-access pipeline</w:t>
      </w:r>
    </w:p>
    <w:p>
      <w:pPr>
        <w:pStyle w:val="Compact"/>
      </w:pPr>
      <w:r>
        <w:rPr>
          <w:b/>
        </w:rPr>
        <w:t xml:space="preserve">Type: </w:t>
      </w:r>
      <w:r>
        <w:t>Left-to-right data-flow / flowchart</w:t>
      </w:r>
      <w:r>
        <w:br/>
      </w:r>
      <w:r>
        <w:rPr>
          <w:b/>
        </w:rPr>
        <w:t xml:space="preserve">Shows: </w:t>
      </w:r>
      <w:r>
        <w:t>Source stores to crawler/ingest (queue_for_ingest) to snapshot + hash to OCR to NER/classification to sensitivity detection to human-review gate to ECM/retention to access &amp; export, with a provenance event emitted at every stage.</w:t>
      </w:r>
      <w:r>
        <w:br/>
      </w:r>
      <w:r>
        <w:rPr>
          <w:b/>
        </w:rPr>
        <w:t xml:space="preserve">For: </w:t>
      </w:r>
      <w:r>
        <w:t>Both - the single most useful overview for newcomers and implementers alike.</w:t>
      </w:r>
      <w:r>
        <w:br/>
      </w:r>
      <w:r>
        <w:rPr>
          <w:b/>
        </w:rPr>
        <w:t xml:space="preserve">Place: </w:t>
      </w:r>
      <w:r>
        <w:t>Under 'Key components and capabilities', before the component list.</w:t>
      </w:r>
    </w:p>
    <w:p>
      <w:r>
        <w:rPr>
          <w:b/>
        </w:rPr>
        <w:t>Figure 4 - Provenance event model (PROV-O)</w:t>
      </w:r>
    </w:p>
    <w:p>
      <w:pPr>
        <w:pStyle w:val="Compact"/>
      </w:pPr>
      <w:r>
        <w:rPr>
          <w:b/>
        </w:rPr>
        <w:t xml:space="preserve">Type: </w:t>
      </w:r>
      <w:r>
        <w:t>Node-edge graph (W3C PROV triad)</w:t>
      </w:r>
      <w:r>
        <w:br/>
      </w:r>
      <w:r>
        <w:rPr>
          <w:b/>
        </w:rPr>
        <w:t xml:space="preserve">Shows: </w:t>
      </w:r>
      <w:r>
        <w:t>Entity (source file) used by Activity (OCR/NER job) associated with Agent (model/system + human reviewer) which generated Entity (derived assertion + confidence).</w:t>
      </w:r>
      <w:r>
        <w:br/>
      </w:r>
      <w:r>
        <w:rPr>
          <w:b/>
        </w:rPr>
        <w:t xml:space="preserve">For: </w:t>
      </w:r>
      <w:r>
        <w:t>Experts read the PROV-O graph; a plain caption tells lay readers 'what produced this, who or what ran it, when, and how confident'.</w:t>
      </w:r>
      <w:r>
        <w:br/>
      </w:r>
      <w:r>
        <w:rPr>
          <w:b/>
        </w:rPr>
        <w:t xml:space="preserve">Place: </w:t>
      </w:r>
      <w:r>
        <w:t>Beside the Example Provenance JSON, under 'Provenance &amp; evidence model'.</w:t>
      </w:r>
    </w:p>
    <w:p>
      <w:r>
        <w:rPr>
          <w:b/>
        </w:rPr>
        <w:t>Figure 5 - Human-in-the-loop review workflow</w:t>
      </w:r>
    </w:p>
    <w:p>
      <w:pPr>
        <w:pStyle w:val="Compact"/>
      </w:pPr>
      <w:r>
        <w:rPr>
          <w:b/>
        </w:rPr>
        <w:t xml:space="preserve">Type: </w:t>
      </w:r>
      <w:r>
        <w:t>Swimlane / decision flow</w:t>
      </w:r>
      <w:r>
        <w:br/>
      </w:r>
      <w:r>
        <w:rPr>
          <w:b/>
        </w:rPr>
        <w:t xml:space="preserve">Shows: </w:t>
      </w:r>
      <w:r>
        <w:t>AI output to a confidence-threshold gate; high-confidence items auto-pass, low-confidence or high-risk items route to a review queue; reviewer accepts, corrects or rejects; the decision is written back to provenance.</w:t>
      </w:r>
      <w:r>
        <w:br/>
      </w:r>
      <w:r>
        <w:rPr>
          <w:b/>
        </w:rPr>
        <w:t xml:space="preserve">For: </w:t>
      </w:r>
      <w:r>
        <w:t>Both - shows non-specialists exactly where a human stays in control.</w:t>
      </w:r>
      <w:r>
        <w:br/>
      </w:r>
      <w:r>
        <w:rPr>
          <w:b/>
        </w:rPr>
        <w:t xml:space="preserve">Place: </w:t>
      </w:r>
      <w:r>
        <w:t>Near the 'Human Review &amp; Workflows' capability and the 'Human-in-the-loop' principle.</w:t>
      </w:r>
    </w:p>
    <w:p>
      <w:r>
        <w:rPr>
          <w:b/>
        </w:rPr>
        <w:t>Figure 6 - Governance roles and decision gates</w:t>
      </w:r>
    </w:p>
    <w:p>
      <w:pPr>
        <w:pStyle w:val="Compact"/>
      </w:pPr>
      <w:r>
        <w:rPr>
          <w:b/>
        </w:rPr>
        <w:t xml:space="preserve">Type: </w:t>
      </w:r>
      <w:r>
        <w:t>Organisation / RACI diagram</w:t>
      </w:r>
      <w:r>
        <w:br/>
      </w:r>
      <w:r>
        <w:rPr>
          <w:b/>
        </w:rPr>
        <w:t xml:space="preserve">Shows: </w:t>
      </w:r>
      <w:r>
        <w:t>AI Governance Committee, Model Owner/Data Steward, Reviewers/Curators and Platform Ops, with the gates each owns (model-to-production approval, phase-gate sign-off, bias/drift review).</w:t>
      </w:r>
      <w:r>
        <w:br/>
      </w:r>
      <w:r>
        <w:rPr>
          <w:b/>
        </w:rPr>
        <w:t xml:space="preserve">For: </w:t>
      </w:r>
      <w:r>
        <w:t>Experts, procurement and governance readers.</w:t>
      </w:r>
      <w:r>
        <w:br/>
      </w:r>
      <w:r>
        <w:rPr>
          <w:b/>
        </w:rPr>
        <w:t xml:space="preserve">Place: </w:t>
      </w:r>
      <w:r>
        <w:t>Under the 'Governance &amp; roles' heading.</w:t>
      </w:r>
    </w:p>
    <w:p>
      <w:r>
        <w:rPr>
          <w:b/>
        </w:rPr>
        <w:t>Figure 7 - Phased implementation roadmap</w:t>
      </w:r>
    </w:p>
    <w:p>
      <w:pPr>
        <w:pStyle w:val="Compact"/>
      </w:pPr>
      <w:r>
        <w:rPr>
          <w:b/>
        </w:rPr>
        <w:t xml:space="preserve">Type: </w:t>
      </w:r>
      <w:r>
        <w:t>Timeline / Gantt</w:t>
      </w:r>
      <w:r>
        <w:br/>
      </w:r>
      <w:r>
        <w:rPr>
          <w:b/>
        </w:rPr>
        <w:t xml:space="preserve">Shows: </w:t>
      </w:r>
      <w:r>
        <w:t>Phase 0 (0-2 months), Phase 1 (2-6), Phase 2 (6-12), Phase 3 (12-24) with key deliverables and KPI checkpoints on each bar.</w:t>
      </w:r>
      <w:r>
        <w:br/>
      </w:r>
      <w:r>
        <w:rPr>
          <w:b/>
        </w:rPr>
        <w:t xml:space="preserve">For: </w:t>
      </w:r>
      <w:r>
        <w:t>Both, executives especially - the 'how long and in what order'.</w:t>
      </w:r>
      <w:r>
        <w:br/>
      </w:r>
      <w:r>
        <w:rPr>
          <w:b/>
        </w:rPr>
        <w:t xml:space="preserve">Place: </w:t>
      </w:r>
      <w:r>
        <w:t>Under the implementation-roadmap heading.</w:t>
      </w:r>
    </w:p>
    <w:p>
      <w:r>
        <w:rPr>
          <w:b/>
        </w:rPr>
        <w:t>Figure 8 - Sensitivity and PII handling decision flow</w:t>
      </w:r>
    </w:p>
    <w:p>
      <w:pPr>
        <w:pStyle w:val="Compact"/>
      </w:pPr>
      <w:r>
        <w:rPr>
          <w:b/>
        </w:rPr>
        <w:t xml:space="preserve">Type: </w:t>
      </w:r>
      <w:r>
        <w:t>Decision flowchart</w:t>
      </w:r>
      <w:r>
        <w:br/>
      </w:r>
      <w:r>
        <w:rPr>
          <w:b/>
        </w:rPr>
        <w:t xml:space="preserve">Shows: </w:t>
      </w:r>
      <w:r>
        <w:t>Detect PII / special-category data, then a policy decision (index / limited-index / redact), then output restriction plus a recorded lawful-basis decision.</w:t>
      </w:r>
      <w:r>
        <w:br/>
      </w:r>
      <w:r>
        <w:rPr>
          <w:b/>
        </w:rPr>
        <w:t xml:space="preserve">For: </w:t>
      </w:r>
      <w:r>
        <w:t>Both - makes the privacy-by-design principle concrete.</w:t>
      </w:r>
      <w:r>
        <w:br/>
      </w:r>
      <w:r>
        <w:rPr>
          <w:b/>
        </w:rPr>
        <w:t xml:space="preserve">Place: </w:t>
      </w:r>
      <w:r>
        <w:t>In the 'Sensitivity Detection &amp; Privacy' component.</w:t>
      </w:r>
    </w:p>
    <w:p>
      <w:r>
        <w:rPr>
          <w:b/>
        </w:rPr>
        <w:t>Figure 9 - Deployment topologies and data residency</w:t>
      </w:r>
    </w:p>
    <w:p>
      <w:pPr>
        <w:pStyle w:val="Compact"/>
      </w:pPr>
      <w:r>
        <w:rPr>
          <w:b/>
        </w:rPr>
        <w:t xml:space="preserve">Type: </w:t>
      </w:r>
      <w:r>
        <w:t>Deployment / topology diagram</w:t>
      </w:r>
      <w:r>
        <w:br/>
      </w:r>
      <w:r>
        <w:rPr>
          <w:b/>
        </w:rPr>
        <w:t xml:space="preserve">Shows: </w:t>
      </w:r>
      <w:r>
        <w:t>On-prem, cloud single-region, cloud multi-region (asynchronous replication) and hybrid (edge ingest + central analytics), with data-residency boundaries and KMS/CMK key control marked.</w:t>
      </w:r>
      <w:r>
        <w:br/>
      </w:r>
      <w:r>
        <w:rPr>
          <w:b/>
        </w:rPr>
        <w:t xml:space="preserve">For: </w:t>
      </w:r>
      <w:r>
        <w:t>Experts; a lay caption explains 'where the data physically lives and who holds the keys'.</w:t>
      </w:r>
      <w:r>
        <w:br/>
      </w:r>
      <w:r>
        <w:rPr>
          <w:b/>
        </w:rPr>
        <w:t xml:space="preserve">Place: </w:t>
      </w:r>
      <w:r>
        <w:t>Under the 'Deployment patterns' heading.</w:t>
      </w:r>
    </w:p>
    <w:p>
      <w:r>
        <w:rPr>
          <w:b/>
        </w:rPr>
        <w:t>Figure 10 - Regime-to-control mapping matrix</w:t>
      </w:r>
    </w:p>
    <w:p>
      <w:pPr>
        <w:pStyle w:val="Compact"/>
      </w:pPr>
      <w:r>
        <w:rPr>
          <w:b/>
        </w:rPr>
        <w:t xml:space="preserve">Type: </w:t>
      </w:r>
      <w:r>
        <w:t>Matrix / heatmap</w:t>
      </w:r>
      <w:r>
        <w:br/>
      </w:r>
      <w:r>
        <w:rPr>
          <w:b/>
        </w:rPr>
        <w:t xml:space="preserve">Shows: </w:t>
      </w:r>
      <w:r>
        <w:t>Regulatory regimes (general data-protection, access-to-information, health-data, etc.) as rows against controls (C-PRV-01, C-ACC-05, C-SEC-03, ...) as columns; filled cells mark the applicable control and its recommended configuration.</w:t>
      </w:r>
      <w:r>
        <w:br/>
      </w:r>
      <w:r>
        <w:rPr>
          <w:b/>
        </w:rPr>
        <w:t xml:space="preserve">For: </w:t>
      </w:r>
      <w:r>
        <w:t>Experts, legal and procurement - the legal-mapping annex made visual.</w:t>
      </w:r>
      <w:r>
        <w:br/>
      </w:r>
      <w:r>
        <w:rPr>
          <w:b/>
        </w:rPr>
        <w:t xml:space="preserve">Place: </w:t>
      </w:r>
      <w:r>
        <w:t>Under the standards/statutes mapping annex.</w:t>
      </w:r>
    </w:p>
    <w:p>
      <w:r>
        <w:rPr>
          <w:b/>
        </w:rPr>
        <w:t>Figure 11 - Model governance lifecycle</w:t>
      </w:r>
    </w:p>
    <w:p>
      <w:pPr>
        <w:pStyle w:val="Compact"/>
      </w:pPr>
      <w:r>
        <w:rPr>
          <w:b/>
        </w:rPr>
        <w:t xml:space="preserve">Type: </w:t>
      </w:r>
      <w:r>
        <w:t>Cyclic loop (MLOps)</w:t>
      </w:r>
      <w:r>
        <w:br/>
      </w:r>
      <w:r>
        <w:rPr>
          <w:b/>
        </w:rPr>
        <w:t xml:space="preserve">Shows: </w:t>
      </w:r>
      <w:r>
        <w:t>Curate data, train, register (version + evaluation metrics), canary deploy, monitor for drift, retrain - a closed loop.</w:t>
      </w:r>
      <w:r>
        <w:br/>
      </w:r>
      <w:r>
        <w:rPr>
          <w:b/>
        </w:rPr>
        <w:t xml:space="preserve">For: </w:t>
      </w:r>
      <w:r>
        <w:t>Experts; a lay caption: 'how the AI is kept accurate and accountable over time'.</w:t>
      </w:r>
      <w:r>
        <w:br/>
      </w:r>
      <w:r>
        <w:rPr>
          <w:b/>
        </w:rPr>
        <w:t xml:space="preserve">Place: </w:t>
      </w:r>
      <w:r>
        <w:t>Near the 'Model registry' component and Phases 2-3 of the roadmap.</w:t>
      </w:r>
    </w:p>
    <w:sectPr w:rsidR="005C044A" w:rsidRPr="0077100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D9366" w14:textId="77777777" w:rsidR="00817BC6" w:rsidRDefault="00817BC6">
      <w:pPr>
        <w:spacing w:after="0"/>
      </w:pPr>
      <w:r>
        <w:separator/>
      </w:r>
    </w:p>
  </w:endnote>
  <w:endnote w:type="continuationSeparator" w:id="0">
    <w:p w14:paraId="449271A3" w14:textId="77777777" w:rsidR="00817BC6" w:rsidRDefault="00817BC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7C37F" w14:textId="77777777" w:rsidR="00817BC6" w:rsidRDefault="00817BC6">
      <w:r>
        <w:separator/>
      </w:r>
    </w:p>
  </w:footnote>
  <w:footnote w:type="continuationSeparator" w:id="0">
    <w:p w14:paraId="7AA4D6CE" w14:textId="77777777" w:rsidR="00817BC6" w:rsidRDefault="00817B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C5A03E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30AE67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66071E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2"/>
    <w:multiLevelType w:val="multilevel"/>
    <w:tmpl w:val="8B549DEE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3"/>
    <w:multiLevelType w:val="multilevel"/>
    <w:tmpl w:val="CE4022C2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00A99414"/>
    <w:multiLevelType w:val="multilevel"/>
    <w:tmpl w:val="53CE913C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6" w15:restartNumberingAfterBreak="0">
    <w:nsid w:val="00A99415"/>
    <w:multiLevelType w:val="multilevel"/>
    <w:tmpl w:val="46B28E12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7" w15:restartNumberingAfterBreak="0">
    <w:nsid w:val="00A99416"/>
    <w:multiLevelType w:val="multilevel"/>
    <w:tmpl w:val="E662005E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8" w15:restartNumberingAfterBreak="0">
    <w:nsid w:val="00A99417"/>
    <w:multiLevelType w:val="multilevel"/>
    <w:tmpl w:val="CE60F246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" w15:restartNumberingAfterBreak="0">
    <w:nsid w:val="0A3C53E1"/>
    <w:multiLevelType w:val="multilevel"/>
    <w:tmpl w:val="E662005E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10" w15:restartNumberingAfterBreak="0">
    <w:nsid w:val="206C1468"/>
    <w:multiLevelType w:val="multilevel"/>
    <w:tmpl w:val="CE4022C2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11" w15:restartNumberingAfterBreak="0">
    <w:nsid w:val="27040282"/>
    <w:multiLevelType w:val="hybridMultilevel"/>
    <w:tmpl w:val="E5C2C92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7A1B28"/>
    <w:multiLevelType w:val="multilevel"/>
    <w:tmpl w:val="53CE913C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37B3078C"/>
    <w:multiLevelType w:val="multilevel"/>
    <w:tmpl w:val="3AFADFCC"/>
    <w:lvl w:ilvl="0">
      <w:numFmt w:val="bullet"/>
      <w:lvlText w:val="•"/>
      <w:lvlJc w:val="left"/>
      <w:pPr>
        <w:ind w:left="720" w:hanging="480"/>
      </w:pPr>
    </w:lvl>
    <w:lvl w:ilvl="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4" w15:restartNumberingAfterBreak="0">
    <w:nsid w:val="40B92B86"/>
    <w:multiLevelType w:val="multilevel"/>
    <w:tmpl w:val="7A688738"/>
    <w:lvl w:ilvl="0">
      <w:numFmt w:val="bullet"/>
      <w:lvlText w:val="•"/>
      <w:lvlJc w:val="left"/>
      <w:pPr>
        <w:ind w:left="720" w:hanging="480"/>
      </w:pPr>
    </w:lvl>
    <w:lvl w:ilvl="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5" w15:restartNumberingAfterBreak="0">
    <w:nsid w:val="45185D1F"/>
    <w:multiLevelType w:val="multilevel"/>
    <w:tmpl w:val="F5F0AF90"/>
    <w:lvl w:ilvl="0">
      <w:start w:val="1"/>
      <w:numFmt w:val="upperLetter"/>
      <w:pStyle w:val="AnnexH1"/>
      <w:suff w:val="space"/>
      <w:lvlText w:val="Annex %1:"/>
      <w:lvlJc w:val="left"/>
      <w:pPr>
        <w:ind w:left="0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</w:rPr>
    </w:lvl>
    <w:lvl w:ilvl="1">
      <w:start w:val="1"/>
      <w:numFmt w:val="decimal"/>
      <w:pStyle w:val="AnnexH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nnexH1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AnnexH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49E93E40"/>
    <w:multiLevelType w:val="multilevel"/>
    <w:tmpl w:val="F66071E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7" w15:restartNumberingAfterBreak="0">
    <w:nsid w:val="4EAF636A"/>
    <w:multiLevelType w:val="multilevel"/>
    <w:tmpl w:val="8B549DEE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18" w15:restartNumberingAfterBreak="0">
    <w:nsid w:val="51765121"/>
    <w:multiLevelType w:val="multilevel"/>
    <w:tmpl w:val="46B28E12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19" w15:restartNumberingAfterBreak="0">
    <w:nsid w:val="5D2355CB"/>
    <w:multiLevelType w:val="multilevel"/>
    <w:tmpl w:val="F66071E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0" w15:restartNumberingAfterBreak="0">
    <w:nsid w:val="772F1B43"/>
    <w:multiLevelType w:val="multilevel"/>
    <w:tmpl w:val="F66071E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104226212">
    <w:abstractNumId w:val="0"/>
  </w:num>
  <w:num w:numId="2" w16cid:durableId="1983998781">
    <w:abstractNumId w:val="1"/>
  </w:num>
  <w:num w:numId="3" w16cid:durableId="20925781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57227759">
    <w:abstractNumId w:val="1"/>
  </w:num>
  <w:num w:numId="5" w16cid:durableId="2797994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82416702">
    <w:abstractNumId w:val="1"/>
  </w:num>
  <w:num w:numId="7" w16cid:durableId="1377895586">
    <w:abstractNumId w:val="1"/>
  </w:num>
  <w:num w:numId="8" w16cid:durableId="29720218">
    <w:abstractNumId w:val="1"/>
  </w:num>
  <w:num w:numId="9" w16cid:durableId="1077094441">
    <w:abstractNumId w:val="1"/>
  </w:num>
  <w:num w:numId="10" w16cid:durableId="1805729275">
    <w:abstractNumId w:val="1"/>
  </w:num>
  <w:num w:numId="11" w16cid:durableId="914625206">
    <w:abstractNumId w:val="1"/>
  </w:num>
  <w:num w:numId="12" w16cid:durableId="1077291426">
    <w:abstractNumId w:val="1"/>
  </w:num>
  <w:num w:numId="13" w16cid:durableId="1555969576">
    <w:abstractNumId w:val="1"/>
  </w:num>
  <w:num w:numId="14" w16cid:durableId="134877776">
    <w:abstractNumId w:val="1"/>
  </w:num>
  <w:num w:numId="15" w16cid:durableId="1113785827">
    <w:abstractNumId w:val="1"/>
  </w:num>
  <w:num w:numId="16" w16cid:durableId="1344936847">
    <w:abstractNumId w:val="1"/>
  </w:num>
  <w:num w:numId="17" w16cid:durableId="125902255">
    <w:abstractNumId w:val="1"/>
  </w:num>
  <w:num w:numId="18" w16cid:durableId="926377788">
    <w:abstractNumId w:val="11"/>
  </w:num>
  <w:num w:numId="19" w16cid:durableId="653802610">
    <w:abstractNumId w:val="13"/>
  </w:num>
  <w:num w:numId="20" w16cid:durableId="1557205154">
    <w:abstractNumId w:val="14"/>
  </w:num>
  <w:num w:numId="21" w16cid:durableId="214218705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" w16cid:durableId="1040787815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3" w16cid:durableId="212272565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4" w16cid:durableId="1419253945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5" w16cid:durableId="1100876872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26" w16cid:durableId="658852346">
    <w:abstractNumId w:val="8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27" w16cid:durableId="933589991">
    <w:abstractNumId w:val="15"/>
  </w:num>
  <w:num w:numId="28" w16cid:durableId="256906746">
    <w:abstractNumId w:val="19"/>
  </w:num>
  <w:num w:numId="29" w16cid:durableId="734593940">
    <w:abstractNumId w:val="17"/>
  </w:num>
  <w:num w:numId="30" w16cid:durableId="432434182">
    <w:abstractNumId w:val="10"/>
  </w:num>
  <w:num w:numId="31" w16cid:durableId="234702630">
    <w:abstractNumId w:val="12"/>
  </w:num>
  <w:num w:numId="32" w16cid:durableId="718743526">
    <w:abstractNumId w:val="18"/>
  </w:num>
  <w:num w:numId="33" w16cid:durableId="395251205">
    <w:abstractNumId w:val="9"/>
  </w:num>
  <w:num w:numId="34" w16cid:durableId="2134521731">
    <w:abstractNumId w:val="20"/>
  </w:num>
  <w:num w:numId="35" w16cid:durableId="143755918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C044A"/>
    <w:rsid w:val="000147F4"/>
    <w:rsid w:val="000A3397"/>
    <w:rsid w:val="00103D64"/>
    <w:rsid w:val="00223457"/>
    <w:rsid w:val="00254BAF"/>
    <w:rsid w:val="002759B1"/>
    <w:rsid w:val="00296381"/>
    <w:rsid w:val="002E2F87"/>
    <w:rsid w:val="003E7C0C"/>
    <w:rsid w:val="0041035C"/>
    <w:rsid w:val="00491F2B"/>
    <w:rsid w:val="004D22B3"/>
    <w:rsid w:val="004D7BF9"/>
    <w:rsid w:val="005C044A"/>
    <w:rsid w:val="006D1DBB"/>
    <w:rsid w:val="006F363B"/>
    <w:rsid w:val="007000C0"/>
    <w:rsid w:val="00741A6E"/>
    <w:rsid w:val="0077100A"/>
    <w:rsid w:val="00785A21"/>
    <w:rsid w:val="007A6DD1"/>
    <w:rsid w:val="007B2059"/>
    <w:rsid w:val="00817BC6"/>
    <w:rsid w:val="008275F0"/>
    <w:rsid w:val="00841239"/>
    <w:rsid w:val="0085274F"/>
    <w:rsid w:val="0090303C"/>
    <w:rsid w:val="00A10C76"/>
    <w:rsid w:val="00A966A1"/>
    <w:rsid w:val="00AC0AAE"/>
    <w:rsid w:val="00AD22DC"/>
    <w:rsid w:val="00BF3265"/>
    <w:rsid w:val="00C22583"/>
    <w:rsid w:val="00C30DE0"/>
    <w:rsid w:val="00CA33E0"/>
    <w:rsid w:val="00CB2C69"/>
    <w:rsid w:val="00CC7C30"/>
    <w:rsid w:val="00CF5EF7"/>
    <w:rsid w:val="00D408E8"/>
    <w:rsid w:val="00E238CB"/>
    <w:rsid w:val="00EA765C"/>
    <w:rsid w:val="00F91145"/>
    <w:rsid w:val="00FA72ED"/>
    <w:rsid w:val="00FB7808"/>
    <w:rsid w:val="00FD4EE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EAD1B"/>
  <w15:docId w15:val="{38203B11-3BD7-43A1-84B5-E42461C7A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360" w:lineRule="auto"/>
    </w:pPr>
    <w:rPr>
      <w:rFonts w:ascii="Arial" w:hAnsi="Arial" w:cs="Arial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40" w:after="8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8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1A1A1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8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1A1A1A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103D64"/>
  </w:style>
  <w:style w:type="paragraph" w:customStyle="1" w:styleId="AnnexH1">
    <w:name w:val="Annex H1"/>
    <w:basedOn w:val="BodyText"/>
    <w:next w:val="AnnexH2"/>
    <w:qFormat/>
    <w:rsid w:val="00741A6E"/>
    <w:pPr>
      <w:pageBreakBefore/>
      <w:numPr>
        <w:ilvl w:val="2"/>
        <w:numId w:val="27"/>
      </w:numPr>
      <w:pBdr>
        <w:bottom w:val="single" w:sz="4" w:space="1" w:color="0E1B8D"/>
      </w:pBdr>
      <w:spacing w:before="0" w:after="240"/>
      <w:jc w:val="both"/>
    </w:pPr>
    <w:rPr>
      <w:rFonts w:eastAsiaTheme="majorEastAsia" w:cs="Times New Roman"/>
      <w:b/>
      <w:color w:val="0E1B8D"/>
      <w:sz w:val="36"/>
      <w:szCs w:val="40"/>
      <w:lang w:val="en-ZA"/>
    </w:rPr>
  </w:style>
  <w:style w:type="paragraph" w:customStyle="1" w:styleId="AnnexH2">
    <w:name w:val="Annex H2"/>
    <w:next w:val="Normal"/>
    <w:link w:val="AnnexH2Char"/>
    <w:qFormat/>
    <w:rsid w:val="00741A6E"/>
    <w:pPr>
      <w:keepNext/>
      <w:numPr>
        <w:ilvl w:val="1"/>
        <w:numId w:val="27"/>
      </w:numPr>
      <w:spacing w:after="120"/>
      <w:outlineLvl w:val="1"/>
    </w:pPr>
    <w:rPr>
      <w:rFonts w:asciiTheme="majorHAnsi" w:eastAsia="Times New Roman" w:hAnsiTheme="majorHAnsi" w:cs="Times New Roman"/>
      <w:b/>
      <w:color w:val="0E1B8D"/>
      <w:sz w:val="32"/>
      <w:szCs w:val="22"/>
      <w:lang w:val="en-GB"/>
    </w:rPr>
  </w:style>
  <w:style w:type="character" w:customStyle="1" w:styleId="AnnexH2Char">
    <w:name w:val="Annex H2 Char"/>
    <w:basedOn w:val="DefaultParagraphFont"/>
    <w:link w:val="AnnexH2"/>
    <w:rsid w:val="00741A6E"/>
    <w:rPr>
      <w:rFonts w:asciiTheme="majorHAnsi" w:eastAsia="Times New Roman" w:hAnsiTheme="majorHAnsi" w:cs="Times New Roman"/>
      <w:b/>
      <w:color w:val="0E1B8D"/>
      <w:sz w:val="32"/>
      <w:szCs w:val="22"/>
      <w:lang w:val="en-GB"/>
    </w:rPr>
  </w:style>
  <w:style w:type="paragraph" w:customStyle="1" w:styleId="AnnexH4">
    <w:name w:val="Annex H4"/>
    <w:next w:val="Normal"/>
    <w:uiPriority w:val="3"/>
    <w:unhideWhenUsed/>
    <w:qFormat/>
    <w:rsid w:val="00741A6E"/>
    <w:pPr>
      <w:numPr>
        <w:ilvl w:val="3"/>
        <w:numId w:val="27"/>
      </w:numPr>
      <w:spacing w:before="240" w:after="60" w:line="276" w:lineRule="auto"/>
    </w:pPr>
    <w:rPr>
      <w:rFonts w:eastAsia="Times New Roman" w:cs="Times New Roman"/>
      <w:b/>
      <w:color w:val="0E1B8D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17</Pages>
  <Words>3200</Words>
  <Characters>18246</Characters>
  <Application>Microsoft Office Word</Application>
  <DocSecurity>0</DocSecurity>
  <Lines>152</Lines>
  <Paragraphs>42</Paragraphs>
  <ScaleCrop>false</ScaleCrop>
  <Company/>
  <LinksUpToDate>false</LinksUpToDate>
  <CharactersWithSpaces>21404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Johan Pieterse</cp:lastModifiedBy>
  <cp:revision>41</cp:revision>
  <dcterms:created xsi:type="dcterms:W3CDTF">2026-06-20T19:18:00Z</dcterms:created>
  <dcterms:modified xsi:type="dcterms:W3CDTF">2026-06-20T19:53:00Z</dcterms:modified>
</cp:coreProperties>
</file>