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3BFCA" w14:textId="77777777" w:rsidR="00774FB3" w:rsidRDefault="00CB6A94" w:rsidP="00F304EF">
      <w:pPr>
        <w:pStyle w:val="Heading1"/>
        <w:spacing w:after="200" w:line="360" w:lineRule="auto"/>
        <w:jc w:val="both"/>
      </w:pPr>
      <w:r>
        <w:t>Utilising Artificial Intelligence to Enhance the Accessibility of Records with Enduring Value in South African State-Owned Companies</w:t>
      </w:r>
    </w:p>
    <w:p w14:paraId="0EEF3079" w14:textId="77777777" w:rsidR="00DB6B90" w:rsidRDefault="00DB6B90" w:rsidP="00F304EF">
      <w:pPr>
        <w:pStyle w:val="Heading1"/>
        <w:spacing w:after="200" w:line="360" w:lineRule="auto"/>
        <w:jc w:val="both"/>
      </w:pPr>
    </w:p>
    <w:p w14:paraId="2669A458" w14:textId="77777777" w:rsidR="00063375" w:rsidRDefault="00063375" w:rsidP="00F304EF">
      <w:pPr>
        <w:spacing w:before="120" w:line="360" w:lineRule="auto"/>
        <w:rPr>
          <w:b/>
        </w:rPr>
      </w:pPr>
      <w:r>
        <w:rPr>
          <w:b/>
        </w:rPr>
        <w:t>Author details</w:t>
      </w:r>
    </w:p>
    <w:p w14:paraId="50CE7270" w14:textId="77777777" w:rsidR="00DB6B90" w:rsidRDefault="00DB6B90" w:rsidP="00F304EF">
      <w:pPr>
        <w:spacing w:before="120" w:line="360" w:lineRule="auto"/>
        <w:rPr>
          <w:b/>
          <w:sz w:val="20"/>
        </w:rPr>
      </w:pPr>
    </w:p>
    <w:tbl>
      <w:tblPr>
        <w:tblW w:w="9185" w:type="dxa"/>
        <w:tblLayout w:type="fixed"/>
        <w:tblLook w:val="0000" w:firstRow="0" w:lastRow="0" w:firstColumn="0" w:lastColumn="0" w:noHBand="0" w:noVBand="0"/>
      </w:tblPr>
      <w:tblGrid>
        <w:gridCol w:w="2593"/>
        <w:gridCol w:w="6592"/>
      </w:tblGrid>
      <w:tr w:rsidR="00063375" w14:paraId="78A61A1E" w14:textId="77777777" w:rsidTr="006F5E6F">
        <w:tc>
          <w:tcPr>
            <w:tcW w:w="2593" w:type="dxa"/>
            <w:tcBorders>
              <w:top w:val="single" w:sz="6" w:space="0" w:color="000000"/>
              <w:left w:val="single" w:sz="6" w:space="0" w:color="000000"/>
              <w:bottom w:val="single" w:sz="6" w:space="0" w:color="000000"/>
              <w:right w:val="single" w:sz="6" w:space="0" w:color="000000"/>
            </w:tcBorders>
            <w:vAlign w:val="center"/>
          </w:tcPr>
          <w:p w14:paraId="3DD27F2A" w14:textId="77777777" w:rsidR="00063375" w:rsidRDefault="00063375" w:rsidP="00F304EF">
            <w:pPr>
              <w:spacing w:line="360" w:lineRule="auto"/>
            </w:pPr>
            <w:r>
              <w:rPr>
                <w:b/>
                <w:sz w:val="20"/>
              </w:rPr>
              <w:t>Author name</w:t>
            </w:r>
          </w:p>
        </w:tc>
        <w:tc>
          <w:tcPr>
            <w:tcW w:w="6592" w:type="dxa"/>
            <w:tcBorders>
              <w:top w:val="single" w:sz="6" w:space="0" w:color="000000"/>
              <w:left w:val="single" w:sz="6" w:space="0" w:color="000000"/>
              <w:bottom w:val="single" w:sz="6" w:space="0" w:color="000000"/>
              <w:right w:val="single" w:sz="6" w:space="0" w:color="000000"/>
            </w:tcBorders>
            <w:vAlign w:val="center"/>
          </w:tcPr>
          <w:p w14:paraId="4F6534C4" w14:textId="77777777" w:rsidR="00063375" w:rsidRDefault="00063375" w:rsidP="00F304EF">
            <w:pPr>
              <w:spacing w:line="360" w:lineRule="auto"/>
            </w:pPr>
            <w:r>
              <w:rPr>
                <w:sz w:val="20"/>
              </w:rPr>
              <w:t>Johannes Jurie Pieterse</w:t>
            </w:r>
          </w:p>
        </w:tc>
      </w:tr>
      <w:tr w:rsidR="00063375" w14:paraId="6B900CC7" w14:textId="77777777" w:rsidTr="006F5E6F">
        <w:tc>
          <w:tcPr>
            <w:tcW w:w="2593" w:type="dxa"/>
            <w:tcBorders>
              <w:top w:val="single" w:sz="6" w:space="0" w:color="000000"/>
              <w:left w:val="single" w:sz="6" w:space="0" w:color="000000"/>
              <w:bottom w:val="single" w:sz="6" w:space="0" w:color="000000"/>
              <w:right w:val="single" w:sz="6" w:space="0" w:color="000000"/>
            </w:tcBorders>
            <w:vAlign w:val="center"/>
          </w:tcPr>
          <w:p w14:paraId="1744E5B7" w14:textId="77777777" w:rsidR="00063375" w:rsidRDefault="00063375" w:rsidP="00F304EF">
            <w:pPr>
              <w:spacing w:line="360" w:lineRule="auto"/>
            </w:pPr>
            <w:r>
              <w:rPr>
                <w:b/>
                <w:sz w:val="20"/>
              </w:rPr>
              <w:t>Institutional affiliation</w:t>
            </w:r>
          </w:p>
        </w:tc>
        <w:tc>
          <w:tcPr>
            <w:tcW w:w="6592" w:type="dxa"/>
            <w:tcBorders>
              <w:top w:val="single" w:sz="6" w:space="0" w:color="000000"/>
              <w:left w:val="single" w:sz="6" w:space="0" w:color="000000"/>
              <w:bottom w:val="single" w:sz="6" w:space="0" w:color="000000"/>
              <w:right w:val="single" w:sz="6" w:space="0" w:color="000000"/>
            </w:tcBorders>
            <w:vAlign w:val="center"/>
          </w:tcPr>
          <w:p w14:paraId="492D57D9" w14:textId="77777777" w:rsidR="00063375" w:rsidRDefault="00063375" w:rsidP="00F304EF">
            <w:pPr>
              <w:spacing w:line="360" w:lineRule="auto"/>
            </w:pPr>
            <w:r>
              <w:rPr>
                <w:sz w:val="20"/>
              </w:rPr>
              <w:t>The Archive and Heritage Group (Pty) Ltd</w:t>
            </w:r>
          </w:p>
        </w:tc>
      </w:tr>
      <w:tr w:rsidR="006F5E6F" w14:paraId="1A78C187" w14:textId="77777777" w:rsidTr="006F5E6F">
        <w:tc>
          <w:tcPr>
            <w:tcW w:w="2593" w:type="dxa"/>
            <w:tcBorders>
              <w:top w:val="single" w:sz="6" w:space="0" w:color="000000"/>
              <w:left w:val="single" w:sz="6" w:space="0" w:color="000000"/>
              <w:bottom w:val="single" w:sz="6" w:space="0" w:color="000000"/>
              <w:right w:val="single" w:sz="6" w:space="0" w:color="000000"/>
            </w:tcBorders>
            <w:vAlign w:val="center"/>
          </w:tcPr>
          <w:p w14:paraId="6FD7032B" w14:textId="77777777" w:rsidR="006F5E6F" w:rsidRDefault="006F5E6F" w:rsidP="00F304EF">
            <w:pPr>
              <w:spacing w:line="360" w:lineRule="auto"/>
              <w:rPr>
                <w:b/>
                <w:sz w:val="20"/>
              </w:rPr>
            </w:pPr>
          </w:p>
        </w:tc>
        <w:tc>
          <w:tcPr>
            <w:tcW w:w="6592" w:type="dxa"/>
            <w:tcBorders>
              <w:top w:val="single" w:sz="6" w:space="0" w:color="000000"/>
              <w:left w:val="single" w:sz="6" w:space="0" w:color="000000"/>
              <w:bottom w:val="single" w:sz="6" w:space="0" w:color="000000"/>
              <w:right w:val="single" w:sz="6" w:space="0" w:color="000000"/>
            </w:tcBorders>
            <w:vAlign w:val="center"/>
          </w:tcPr>
          <w:p w14:paraId="26A17100" w14:textId="77777777" w:rsidR="006F5E6F" w:rsidRDefault="006F5E6F" w:rsidP="00F304EF">
            <w:pPr>
              <w:spacing w:line="360" w:lineRule="auto"/>
              <w:rPr>
                <w:sz w:val="20"/>
              </w:rPr>
            </w:pPr>
          </w:p>
        </w:tc>
      </w:tr>
      <w:tr w:rsidR="00063375" w14:paraId="0CD63F8A" w14:textId="77777777" w:rsidTr="006F5E6F">
        <w:tc>
          <w:tcPr>
            <w:tcW w:w="2593" w:type="dxa"/>
            <w:tcBorders>
              <w:top w:val="single" w:sz="6" w:space="0" w:color="000000"/>
              <w:left w:val="single" w:sz="6" w:space="0" w:color="000000"/>
              <w:bottom w:val="single" w:sz="6" w:space="0" w:color="000000"/>
              <w:right w:val="single" w:sz="6" w:space="0" w:color="000000"/>
            </w:tcBorders>
            <w:vAlign w:val="center"/>
          </w:tcPr>
          <w:p w14:paraId="10470C2E" w14:textId="77777777" w:rsidR="00063375" w:rsidRDefault="00063375" w:rsidP="00F304EF">
            <w:pPr>
              <w:spacing w:line="360" w:lineRule="auto"/>
            </w:pPr>
            <w:r>
              <w:rPr>
                <w:b/>
                <w:sz w:val="20"/>
              </w:rPr>
              <w:t>Email address</w:t>
            </w:r>
          </w:p>
        </w:tc>
        <w:tc>
          <w:tcPr>
            <w:tcW w:w="6592" w:type="dxa"/>
            <w:tcBorders>
              <w:top w:val="single" w:sz="6" w:space="0" w:color="000000"/>
              <w:left w:val="single" w:sz="6" w:space="0" w:color="000000"/>
              <w:bottom w:val="single" w:sz="6" w:space="0" w:color="000000"/>
              <w:right w:val="single" w:sz="6" w:space="0" w:color="000000"/>
            </w:tcBorders>
            <w:vAlign w:val="center"/>
          </w:tcPr>
          <w:p w14:paraId="10AB0B1E" w14:textId="77777777" w:rsidR="00063375" w:rsidRDefault="00063375" w:rsidP="00F304EF">
            <w:pPr>
              <w:spacing w:line="360" w:lineRule="auto"/>
            </w:pPr>
            <w:r>
              <w:rPr>
                <w:sz w:val="20"/>
              </w:rPr>
              <w:t>johan@theahg.co.za</w:t>
            </w:r>
          </w:p>
        </w:tc>
      </w:tr>
      <w:tr w:rsidR="00063375" w14:paraId="0E6668CD" w14:textId="77777777" w:rsidTr="006F5E6F">
        <w:tc>
          <w:tcPr>
            <w:tcW w:w="2593" w:type="dxa"/>
            <w:tcBorders>
              <w:top w:val="single" w:sz="6" w:space="0" w:color="000000"/>
              <w:left w:val="single" w:sz="6" w:space="0" w:color="000000"/>
              <w:bottom w:val="single" w:sz="6" w:space="0" w:color="000000"/>
              <w:right w:val="single" w:sz="6" w:space="0" w:color="000000"/>
            </w:tcBorders>
            <w:vAlign w:val="center"/>
          </w:tcPr>
          <w:p w14:paraId="1250491B" w14:textId="77777777" w:rsidR="00063375" w:rsidRDefault="00063375" w:rsidP="00F304EF">
            <w:pPr>
              <w:spacing w:line="360" w:lineRule="auto"/>
            </w:pPr>
            <w:r>
              <w:rPr>
                <w:b/>
                <w:sz w:val="20"/>
              </w:rPr>
              <w:t>Article type</w:t>
            </w:r>
          </w:p>
        </w:tc>
        <w:tc>
          <w:tcPr>
            <w:tcW w:w="6592" w:type="dxa"/>
            <w:tcBorders>
              <w:top w:val="single" w:sz="6" w:space="0" w:color="000000"/>
              <w:left w:val="single" w:sz="6" w:space="0" w:color="000000"/>
              <w:bottom w:val="single" w:sz="6" w:space="0" w:color="000000"/>
              <w:right w:val="single" w:sz="6" w:space="0" w:color="000000"/>
            </w:tcBorders>
            <w:vAlign w:val="center"/>
          </w:tcPr>
          <w:p w14:paraId="2D115E96" w14:textId="77777777" w:rsidR="00063375" w:rsidRDefault="00063375" w:rsidP="00F304EF">
            <w:pPr>
              <w:spacing w:line="360" w:lineRule="auto"/>
            </w:pPr>
            <w:r>
              <w:rPr>
                <w:sz w:val="20"/>
              </w:rPr>
              <w:t>Research article</w:t>
            </w:r>
          </w:p>
        </w:tc>
      </w:tr>
    </w:tbl>
    <w:p w14:paraId="09CF3ED1" w14:textId="77777777" w:rsidR="00063375" w:rsidRDefault="00063375" w:rsidP="00F304EF">
      <w:pPr>
        <w:spacing w:before="120" w:line="360" w:lineRule="auto"/>
        <w:rPr>
          <w:b/>
        </w:rPr>
      </w:pPr>
    </w:p>
    <w:p w14:paraId="6EA99032" w14:textId="77777777" w:rsidR="00063375" w:rsidRPr="00530B13" w:rsidRDefault="00063375" w:rsidP="00F304EF">
      <w:pPr>
        <w:spacing w:before="120" w:line="360" w:lineRule="auto"/>
        <w:jc w:val="both"/>
        <w:rPr>
          <w:bCs/>
        </w:rPr>
      </w:pPr>
      <w:r w:rsidRPr="006F5E6F">
        <w:rPr>
          <w:b/>
        </w:rPr>
        <w:t>Acknowledgements</w:t>
      </w:r>
      <w:r w:rsidRPr="00530B13">
        <w:rPr>
          <w:bCs/>
        </w:rPr>
        <w:t>: The author acknowledges Prof Lorette Jacobs (PhD Information Science; MPhil Higher Education; Professor and Head: Office for Tuition and Learner Support, College of Human Sciences, University of South Africa; ORCID: 0000-0001-8081-7739) for doctoral supervision of the underlying research from which this manuscript draws.</w:t>
      </w:r>
    </w:p>
    <w:p w14:paraId="6C738B28" w14:textId="77777777" w:rsidR="00B933D1" w:rsidRPr="00B933D1" w:rsidRDefault="00B933D1" w:rsidP="00F304EF">
      <w:pPr>
        <w:spacing w:after="200" w:line="360" w:lineRule="auto"/>
        <w:jc w:val="both"/>
      </w:pPr>
    </w:p>
    <w:p w14:paraId="0C83BFCD" w14:textId="77777777" w:rsidR="00774FB3" w:rsidRDefault="00CB6A94" w:rsidP="00F304EF">
      <w:pPr>
        <w:spacing w:after="120" w:line="360" w:lineRule="auto"/>
        <w:jc w:val="both"/>
      </w:pPr>
      <w:r>
        <w:rPr>
          <w:b/>
          <w:bCs/>
        </w:rPr>
        <w:t>Sub-theme:</w:t>
      </w:r>
      <w:r>
        <w:t xml:space="preserve"> Archives and records management digital transformation</w:t>
      </w:r>
    </w:p>
    <w:p w14:paraId="0C83BFD0" w14:textId="09B94F6E" w:rsidR="00774FB3" w:rsidRDefault="00CB6A94" w:rsidP="00F304EF">
      <w:pPr>
        <w:spacing w:after="200" w:line="360" w:lineRule="auto"/>
        <w:jc w:val="both"/>
      </w:pPr>
      <w:r>
        <w:t xml:space="preserve"> </w:t>
      </w:r>
      <w:r>
        <w:t xml:space="preserve"> </w:t>
      </w:r>
    </w:p>
    <w:p w14:paraId="1A021DAB" w14:textId="77777777" w:rsidR="0012336A" w:rsidRDefault="0012336A" w:rsidP="00F304EF">
      <w:pPr>
        <w:spacing w:line="360" w:lineRule="auto"/>
        <w:rPr>
          <w:b/>
          <w:bCs/>
          <w:color w:val="000000"/>
          <w:sz w:val="36"/>
          <w:szCs w:val="36"/>
        </w:rPr>
      </w:pPr>
      <w:r>
        <w:br w:type="page"/>
      </w:r>
    </w:p>
    <w:p w14:paraId="0C83BFD1" w14:textId="2585D326" w:rsidR="00774FB3" w:rsidRDefault="00CB6A94" w:rsidP="00F304EF">
      <w:pPr>
        <w:pStyle w:val="Heading2"/>
        <w:spacing w:after="200" w:line="360" w:lineRule="auto"/>
        <w:jc w:val="both"/>
      </w:pPr>
      <w:r>
        <w:lastRenderedPageBreak/>
        <w:t>Abstract</w:t>
      </w:r>
    </w:p>
    <w:p w14:paraId="0C83BFD2" w14:textId="79D83012" w:rsidR="00774FB3" w:rsidRDefault="00CB6A94" w:rsidP="00F304EF">
      <w:pPr>
        <w:spacing w:after="120" w:line="360" w:lineRule="auto"/>
        <w:jc w:val="both"/>
      </w:pPr>
      <w:r>
        <w:t>South African state-owned companies (SOCs) hold records of enduring value that are critical to accountability, service delivery, and the national documentary heritage. In the digital era, however, these records are increasingly fragmented across shared drives, departmental file shares, email systems, and personal devices, where they remain invisible to records managers and archivists. The result is a paradox: SOCs generate more records of enduring value than at any point in their history, but the proportion</w:t>
      </w:r>
      <w:r>
        <w:t xml:space="preserve"> of those records that can be discovered, appraised, and transferred to archival custody has declined sharply. This paper draws on doctoral research at the University of South Africa to argue that artificial intelligence (AI), applied within a socio-technical framework that retains human oversight and standards compliance, offers a practical response to this accessibility crisis. The paper presents a theoretical framework for AI integration in records management, summarises empirical findings from qualitati</w:t>
      </w:r>
      <w:r>
        <w:t>ve research with records managers and technical professionals at a South African SOC, and then sets out</w:t>
      </w:r>
      <w:r w:rsidR="005A4704">
        <w:t>,</w:t>
      </w:r>
      <w:r>
        <w:t xml:space="preserve"> in practitioner-accessible terms</w:t>
      </w:r>
      <w:r w:rsidR="005A4704">
        <w:t>,</w:t>
      </w:r>
      <w:r>
        <w:t xml:space="preserve"> how the framework can be implemented across the records lifecycle. Findings indicate that AI-enabled discovery and classification can deliver order-of-magnitude improvements in the discoverability of dispersed records, with corresponding reductions in litigation, loss, and non-compliance risk. The paper closes with recommendations for the responsible adoption of AI in South African archival and records management practice, grounded in the National Archives and Records Service of South Africa Act, the Prote</w:t>
      </w:r>
      <w:r>
        <w:t>ction of Personal Information Act, and the Promotion of Access to Information Act.</w:t>
      </w:r>
    </w:p>
    <w:p w14:paraId="0C83BFD3" w14:textId="77777777" w:rsidR="00774FB3" w:rsidRDefault="00CB6A94" w:rsidP="00F304EF">
      <w:pPr>
        <w:spacing w:after="200" w:line="360" w:lineRule="auto"/>
        <w:jc w:val="both"/>
      </w:pPr>
      <w:r>
        <w:t xml:space="preserve"> </w:t>
      </w:r>
    </w:p>
    <w:p w14:paraId="0C83BFD4" w14:textId="77777777" w:rsidR="00774FB3" w:rsidRDefault="00CB6A94" w:rsidP="00F304EF">
      <w:pPr>
        <w:spacing w:after="120" w:line="360" w:lineRule="auto"/>
        <w:jc w:val="both"/>
      </w:pPr>
      <w:r>
        <w:rPr>
          <w:b/>
          <w:bCs/>
        </w:rPr>
        <w:t>Keywords:</w:t>
      </w:r>
      <w:r>
        <w:t xml:space="preserve"> records management; archives; artificial intelligence; state-owned companies; accessibility; digital transformation; South Africa</w:t>
      </w:r>
    </w:p>
    <w:p w14:paraId="0C83BFD5" w14:textId="77777777" w:rsidR="00774FB3" w:rsidRDefault="00CB6A94" w:rsidP="00F304EF">
      <w:pPr>
        <w:spacing w:after="200" w:line="360" w:lineRule="auto"/>
        <w:jc w:val="both"/>
      </w:pPr>
      <w:r>
        <w:t xml:space="preserve"> </w:t>
      </w:r>
    </w:p>
    <w:p w14:paraId="0C83BFD7" w14:textId="77777777" w:rsidR="00774FB3" w:rsidRDefault="00CB6A94" w:rsidP="00F304EF">
      <w:pPr>
        <w:spacing w:after="200" w:line="360" w:lineRule="auto"/>
        <w:jc w:val="both"/>
      </w:pPr>
      <w:r>
        <w:t xml:space="preserve"> </w:t>
      </w:r>
    </w:p>
    <w:p w14:paraId="1DB47B17" w14:textId="77777777" w:rsidR="0012336A" w:rsidRDefault="0012336A" w:rsidP="00F304EF">
      <w:pPr>
        <w:spacing w:line="360" w:lineRule="auto"/>
        <w:rPr>
          <w:b/>
          <w:bCs/>
          <w:color w:val="000000"/>
          <w:sz w:val="36"/>
          <w:szCs w:val="36"/>
        </w:rPr>
      </w:pPr>
      <w:r>
        <w:br w:type="page"/>
      </w:r>
    </w:p>
    <w:p w14:paraId="0C83BFD8" w14:textId="6E50680C" w:rsidR="00774FB3" w:rsidRDefault="00CB6A94" w:rsidP="00F304EF">
      <w:pPr>
        <w:pStyle w:val="Heading2"/>
        <w:spacing w:after="200" w:line="360" w:lineRule="auto"/>
        <w:jc w:val="both"/>
      </w:pPr>
      <w:r>
        <w:lastRenderedPageBreak/>
        <w:t>1. Introduction</w:t>
      </w:r>
    </w:p>
    <w:p w14:paraId="0C83BFD9" w14:textId="77777777" w:rsidR="00774FB3" w:rsidRDefault="00CB6A94" w:rsidP="00F304EF">
      <w:pPr>
        <w:spacing w:after="120" w:line="360" w:lineRule="auto"/>
        <w:jc w:val="both"/>
      </w:pPr>
      <w:r>
        <w:t>The records of South African state-owned companies (SOCs) document decisions that affect every citizen. These records carry enduring value in the sense established by archival theory: they evidence rights, sustain accountability, support service delivery, and constitute part of the national documentary heritage protected under the National Archives and Records Service of South Africa Act 43 of 1996 (hereafter the NARSSA Act). They are also, in increasing measure, invisible.</w:t>
      </w:r>
    </w:p>
    <w:p w14:paraId="0C83BFDB" w14:textId="34D89249" w:rsidR="00774FB3" w:rsidRDefault="00CB6A94" w:rsidP="00E12E84">
      <w:pPr>
        <w:spacing w:after="200" w:line="360" w:lineRule="auto"/>
        <w:jc w:val="both"/>
      </w:pPr>
      <w:r>
        <w:t xml:space="preserve"> </w:t>
      </w:r>
      <w:r>
        <w:t xml:space="preserve">The invisibility is not a failure of intention. SOCs employ records managers; most have file plans; many have records management policies aligned to the NARSSA Act. The invisibility arises from the gap between policy and practice in a digital environment that has outpaced both. Records of enduring value are now created in word processors, captured in email threads, attached to chat messages, stored on shared drives, scanned to personal folders, exported from line-of-business systems, and accumulated on the </w:t>
      </w:r>
      <w:r>
        <w:t>laptops of officials who leave without handover. Ngoepe and Saurombe (2016:25) document how electronic records management has struggled to embed itself in the daily service delivery routines of South African public institutions, with policy ambitions consistently outpacing operational reality. Ngoepe (2020:308) extends this observation, showing that born-digital records in the South African public sector are inconsistently recognised as records at all, with downstream consequences for access, accountability</w:t>
      </w:r>
      <w:r>
        <w:t>, and preservation.</w:t>
      </w:r>
    </w:p>
    <w:p w14:paraId="0C83BFDD" w14:textId="454EFC56" w:rsidR="00774FB3" w:rsidRDefault="00CB6A94" w:rsidP="003B3A44">
      <w:pPr>
        <w:spacing w:after="200" w:line="360" w:lineRule="auto"/>
        <w:jc w:val="both"/>
      </w:pPr>
      <w:r>
        <w:t xml:space="preserve"> </w:t>
      </w:r>
      <w:r>
        <w:t>This paper argues that artificial intelligence, applied carefully and within a socio-technical framework, offers a practical response. AI is not a substitute for records management; it is a means of extending the visibility and reach of records management into environments where manual practice cannot follow. The paper proceeds in four parts. Section 2 frames the accessibility crisis as it manifests in South African SOCs. Section 3 sets out a theoretical framework for AI integration. Section 4 summarises em</w:t>
      </w:r>
      <w:r>
        <w:t>pirical findings from a qualitative study at an anonymised South African SOC. Section 5</w:t>
      </w:r>
      <w:r w:rsidR="00FF0B60">
        <w:t>,</w:t>
      </w:r>
      <w:r>
        <w:t xml:space="preserve"> the core of the paper's contribution</w:t>
      </w:r>
      <w:r w:rsidR="00FF0B60">
        <w:t>,</w:t>
      </w:r>
      <w:r>
        <w:t xml:space="preserve"> sets out the practical "how": which AI capabilities address which records management problems, and where they fit in the records lifecycle. Section 6 discusses governance, ethics, and the limits of what AI can be asked to do. Section 7 offers recommendations for the South African archival profession.</w:t>
      </w:r>
    </w:p>
    <w:p w14:paraId="0C83BFDE" w14:textId="77777777" w:rsidR="00774FB3" w:rsidRDefault="00CB6A94" w:rsidP="00F304EF">
      <w:pPr>
        <w:spacing w:after="200" w:line="360" w:lineRule="auto"/>
        <w:jc w:val="both"/>
      </w:pPr>
      <w:r>
        <w:t xml:space="preserve"> </w:t>
      </w:r>
    </w:p>
    <w:p w14:paraId="0C83BFE1" w14:textId="77777777" w:rsidR="00774FB3" w:rsidRDefault="00CB6A94" w:rsidP="00F304EF">
      <w:pPr>
        <w:pStyle w:val="Heading2"/>
        <w:spacing w:after="200" w:line="360" w:lineRule="auto"/>
        <w:jc w:val="both"/>
      </w:pPr>
      <w:r>
        <w:lastRenderedPageBreak/>
        <w:t>2. The Accessibility Crisis in South African SOCs</w:t>
      </w:r>
    </w:p>
    <w:p w14:paraId="0C83BFE2" w14:textId="77777777" w:rsidR="00774FB3" w:rsidRDefault="00CB6A94" w:rsidP="00F304EF">
      <w:pPr>
        <w:spacing w:after="120" w:line="360" w:lineRule="auto"/>
        <w:jc w:val="both"/>
      </w:pPr>
      <w:r>
        <w:t xml:space="preserve">Records management in a paper-era SOC operated through a registry. Documents flowed through known points; the file plan was authoritative; the file itself was the unit of management. Digital transformation has dismantled all three of these assumptions. Documents are now created and circulated outside any registry. The file plan, where one exists, is enforced inconsistently. The file is no longer a stable unit; a "record" may be a database entry, an email with attachments, a chat thread, a scanned image, or </w:t>
      </w:r>
      <w:r>
        <w:t>a composite of all four.</w:t>
      </w:r>
    </w:p>
    <w:p w14:paraId="0C83BFE4" w14:textId="5D0A1542" w:rsidR="00774FB3" w:rsidRDefault="00CB6A94" w:rsidP="00DF46C1">
      <w:pPr>
        <w:spacing w:after="200" w:line="360" w:lineRule="auto"/>
        <w:jc w:val="both"/>
      </w:pPr>
      <w:r>
        <w:t xml:space="preserve"> </w:t>
      </w:r>
      <w:r>
        <w:t xml:space="preserve">The consequence is what may be termed </w:t>
      </w:r>
      <w:r>
        <w:rPr>
          <w:i/>
          <w:iCs/>
        </w:rPr>
        <w:t>archives without archives</w:t>
      </w:r>
      <w:r>
        <w:t>: enduring-value records exist, but the institutions that should hold them cannot locate, appraise, or transfer them. The problem has three components.</w:t>
      </w:r>
    </w:p>
    <w:p w14:paraId="0C83BFE6" w14:textId="08EE0865" w:rsidR="00774FB3" w:rsidRDefault="00CB6A94" w:rsidP="00DF46C1">
      <w:pPr>
        <w:spacing w:after="200" w:line="360" w:lineRule="auto"/>
        <w:jc w:val="both"/>
      </w:pPr>
      <w:r>
        <w:t xml:space="preserve"> </w:t>
      </w:r>
      <w:r>
        <w:rPr>
          <w:b/>
          <w:bCs/>
        </w:rPr>
        <w:t>Volume.</w:t>
      </w:r>
      <w:r>
        <w:t xml:space="preserve"> SOCs generate digital records at a scale that manual classification cannot match. A medium-sized SOC may produce hundreds of thousands of email messages per week and tens of thousands of attached documents, of which a meaningful minority will carry enduring value. No records manager, however diligent, can sample this volume. Marutha and Ngulube (2012:40) demonstrate that records management practitioners in the South African public sector are routinely overwhelmed by content volumes, with the resulti</w:t>
      </w:r>
      <w:r>
        <w:t>ng backlog directly impairing accountability and service delivery.</w:t>
      </w:r>
    </w:p>
    <w:p w14:paraId="0C83BFE8" w14:textId="38CA3E84" w:rsidR="00774FB3" w:rsidRDefault="00CB6A94" w:rsidP="00DF46C1">
      <w:pPr>
        <w:spacing w:after="200" w:line="360" w:lineRule="auto"/>
        <w:jc w:val="both"/>
      </w:pPr>
      <w:r>
        <w:t xml:space="preserve"> </w:t>
      </w:r>
      <w:r>
        <w:rPr>
          <w:b/>
          <w:bCs/>
        </w:rPr>
        <w:t>Dispersion.</w:t>
      </w:r>
      <w:r>
        <w:t xml:space="preserve"> Records are scattered across systems that were not designed to interoperate with the registry. Shared drives, departmental sites, email systems, line-of-business applications, scan stations, mobile devices, and cloud storage services each hold portions of the corpus. Mosweu, Luthuli and Mosweu (2019:1) identify infrastructural weakness and policy gaps as structural features of digital records management across the continent, observing that dispersed storage environments are not incidental but ch</w:t>
      </w:r>
      <w:r>
        <w:t>aracteristic of how digital records management has evolved in African public institutions. The records manager has authority over the registry; over the rest, only persuasion.</w:t>
      </w:r>
    </w:p>
    <w:p w14:paraId="0C83BFEA" w14:textId="5FF3E553" w:rsidR="00774FB3" w:rsidRDefault="00CB6A94" w:rsidP="00C5597B">
      <w:pPr>
        <w:spacing w:after="200" w:line="360" w:lineRule="auto"/>
        <w:jc w:val="both"/>
      </w:pPr>
      <w:r>
        <w:t xml:space="preserve"> </w:t>
      </w:r>
      <w:r>
        <w:rPr>
          <w:b/>
          <w:bCs/>
        </w:rPr>
        <w:t>Opacity.</w:t>
      </w:r>
      <w:r>
        <w:t xml:space="preserve"> Even where records can be located, their content is often opaque to the registry. A scanned PDF of a board minute is text to the human reader but, without optical character recognition, an image to the system. A handwritten incident report, common in operational SOC environments, is invisible to any form of automated discovery without handwritten text recognition. Multilingual content in South Africa's eleven official languages compounds the problem; metadata is frequently sparse or inconsistent.</w:t>
      </w:r>
    </w:p>
    <w:p w14:paraId="0C83BFEC" w14:textId="2DF90033" w:rsidR="00774FB3" w:rsidRDefault="00CB6A94" w:rsidP="00C5597B">
      <w:pPr>
        <w:spacing w:after="200" w:line="360" w:lineRule="auto"/>
        <w:jc w:val="both"/>
      </w:pPr>
      <w:r>
        <w:lastRenderedPageBreak/>
        <w:t xml:space="preserve"> </w:t>
      </w:r>
      <w:r>
        <w:t>The consequences are substantial. Mojapelo and Ngoepe (2021:33) show that the inability of public-sector institutions to produce complete and retrievable records contributes directly to adverse and disclaimed audit opinions issued by the Auditor-General of South Africa, with implications for financial accountability and institutional credibility. Dikotla and Mokgolo (2023) demonstrate that poor records management in South African government institutions results in measurable harm to service delivery, as ina</w:t>
      </w:r>
      <w:r>
        <w:t>ccessible records impede institutions' ability to fulfil statutory obligations to citizens and oversight bodies. The accessibility crisis is not abstract; it manifests in failed audits, contested decisions, lost rights, and corroded public trust.</w:t>
      </w:r>
    </w:p>
    <w:p w14:paraId="0C83BFEF" w14:textId="28B5E4DE" w:rsidR="00774FB3" w:rsidRDefault="00CB6A94" w:rsidP="00C5597B">
      <w:pPr>
        <w:spacing w:after="200" w:line="360" w:lineRule="auto"/>
        <w:jc w:val="both"/>
      </w:pPr>
      <w:r>
        <w:t xml:space="preserve"> </w:t>
      </w:r>
      <w:r>
        <w:t xml:space="preserve"> </w:t>
      </w:r>
    </w:p>
    <w:p w14:paraId="0C83BFF0" w14:textId="77777777" w:rsidR="00774FB3" w:rsidRDefault="00CB6A94" w:rsidP="00F304EF">
      <w:pPr>
        <w:pStyle w:val="Heading2"/>
        <w:spacing w:after="200" w:line="360" w:lineRule="auto"/>
        <w:jc w:val="both"/>
      </w:pPr>
      <w:r>
        <w:t>3. A Socio-Technical Framework for AI Integration</w:t>
      </w:r>
    </w:p>
    <w:p w14:paraId="0C83BFF1" w14:textId="01852CC4" w:rsidR="00774FB3" w:rsidRDefault="00CB6A94" w:rsidP="00F304EF">
      <w:pPr>
        <w:spacing w:after="120" w:line="360" w:lineRule="auto"/>
        <w:jc w:val="both"/>
      </w:pPr>
      <w:r>
        <w:t>AI applied to records management is not a technological intervention. It is a socio-technical intervention</w:t>
      </w:r>
      <w:r w:rsidR="00497443">
        <w:t>;</w:t>
      </w:r>
      <w:r>
        <w:t xml:space="preserve"> a reshaping of the relationship between records professionals, the records they manage, and the systems through which management is performed. A framework adequate to this reshaping must hold four dimensions in balance.</w:t>
      </w:r>
    </w:p>
    <w:p w14:paraId="0C83BFF3" w14:textId="02A91064" w:rsidR="00774FB3" w:rsidRDefault="00CB6A94" w:rsidP="00C5597B">
      <w:pPr>
        <w:spacing w:after="200" w:line="360" w:lineRule="auto"/>
        <w:jc w:val="both"/>
      </w:pPr>
      <w:r>
        <w:t xml:space="preserve"> </w:t>
      </w:r>
      <w:r>
        <w:rPr>
          <w:b/>
          <w:bCs/>
        </w:rPr>
        <w:t>The technological dimension.</w:t>
      </w:r>
      <w:r>
        <w:t xml:space="preserve"> AI capabilities</w:t>
      </w:r>
      <w:r w:rsidR="00497443">
        <w:t>,</w:t>
      </w:r>
      <w:r>
        <w:t xml:space="preserve"> classification, extraction, recognition, translation, retrieval</w:t>
      </w:r>
      <w:r w:rsidR="00497443">
        <w:t>,</w:t>
      </w:r>
      <w:r>
        <w:t xml:space="preserve"> must be selected with reference to the actual problems they address, not adopted because they are available. Colavizza, Blanke, Jeurgens and Noordegraaf (2021:6) demonstrate, in their systematic review of AI in archival contexts, that automated classification, metadata generation, and content-based indexing are no longer hypothetical capabilities but production-ready interventions being deployed at scale. The question is no longer whether these capabilities exist but whether organisations have the governan</w:t>
      </w:r>
      <w:r>
        <w:t>ce maturity to use them responsibly.</w:t>
      </w:r>
    </w:p>
    <w:p w14:paraId="0C83BFF5" w14:textId="44B8FE5A" w:rsidR="00774FB3" w:rsidRDefault="00CB6A94" w:rsidP="00497443">
      <w:pPr>
        <w:spacing w:after="200" w:line="360" w:lineRule="auto"/>
        <w:jc w:val="both"/>
      </w:pPr>
      <w:r>
        <w:t xml:space="preserve"> </w:t>
      </w:r>
      <w:r>
        <w:rPr>
          <w:b/>
          <w:bCs/>
        </w:rPr>
        <w:t>The professional dimension.</w:t>
      </w:r>
      <w:r>
        <w:t xml:space="preserve"> Records managers and archivists retain authority over decisions of enduring consequence: what is appraised as having archival value, what is destroyed, what is restricted, what is released. AI is positioned within this authority structure as a tool of extended perception</w:t>
      </w:r>
      <w:r w:rsidR="00497443">
        <w:t>,</w:t>
      </w:r>
      <w:r>
        <w:t xml:space="preserve"> it expands what the professional can see</w:t>
      </w:r>
      <w:r w:rsidR="00225FCE">
        <w:t>,</w:t>
      </w:r>
      <w:r>
        <w:t xml:space="preserve"> not as a delegated decision-maker.</w:t>
      </w:r>
    </w:p>
    <w:p w14:paraId="0C83BFF6" w14:textId="77777777" w:rsidR="00774FB3" w:rsidRDefault="00CB6A94" w:rsidP="00F304EF">
      <w:pPr>
        <w:spacing w:after="200" w:line="360" w:lineRule="auto"/>
        <w:jc w:val="both"/>
      </w:pPr>
      <w:r>
        <w:t xml:space="preserve"> </w:t>
      </w:r>
    </w:p>
    <w:p w14:paraId="0C83BFF7" w14:textId="77777777" w:rsidR="00774FB3" w:rsidRDefault="00CB6A94" w:rsidP="00F304EF">
      <w:pPr>
        <w:spacing w:after="120" w:line="360" w:lineRule="auto"/>
        <w:jc w:val="both"/>
      </w:pPr>
      <w:r>
        <w:rPr>
          <w:b/>
          <w:bCs/>
        </w:rPr>
        <w:lastRenderedPageBreak/>
        <w:t>The institutional dimension.</w:t>
      </w:r>
      <w:r>
        <w:t xml:space="preserve"> Records management exists within a regulatory environment: in South Africa, the NARSSA Act, the Promotion of Access to Information Act 2 of 2000 (PAIA), and the Protection of Personal Information Act 4 of 2013 (POPIA). AI integration must demonstrably support compliance with these instruments rather than complicate it. Modiba, Ngulube and Marutha (2023:39) argue that AI deployment in South African public-sector records environments succeeds only where regulatory alignment is built into system design from t</w:t>
      </w:r>
      <w:r>
        <w:t>he outset, rather than retrofitted as compliance afterthought.</w:t>
      </w:r>
    </w:p>
    <w:p w14:paraId="0C83BFF9" w14:textId="378C3593" w:rsidR="00774FB3" w:rsidRDefault="00CB6A94" w:rsidP="005F1E73">
      <w:pPr>
        <w:spacing w:after="200" w:line="360" w:lineRule="auto"/>
        <w:jc w:val="both"/>
      </w:pPr>
      <w:r>
        <w:t xml:space="preserve"> </w:t>
      </w:r>
      <w:r>
        <w:rPr>
          <w:b/>
          <w:bCs/>
        </w:rPr>
        <w:t>The ethical dimension.</w:t>
      </w:r>
      <w:r>
        <w:t xml:space="preserve"> Mittelstadt, Allo, Taddeo, Wachter and Floridi (2016:5) argue that explainability, auditability, and fairness must be embedded in algorithmic systems from inception rather than addressed retrospectively. AI systems can encode bias, misclassify in ways that disadvantage particular groups, and operate as opaque decision systems where transparency is required. The framework therefore requires explicit attention to model behaviour, audit trails for AI-assisted decisions, and clear escalat</w:t>
      </w:r>
      <w:r>
        <w:t>ion paths when human review is necessary.</w:t>
      </w:r>
    </w:p>
    <w:p w14:paraId="0C83BFFB" w14:textId="7B09F8DE" w:rsidR="00774FB3" w:rsidRDefault="00CB6A94" w:rsidP="005F1E73">
      <w:pPr>
        <w:spacing w:after="200" w:line="360" w:lineRule="auto"/>
        <w:jc w:val="both"/>
      </w:pPr>
      <w:r>
        <w:t xml:space="preserve"> </w:t>
      </w:r>
      <w:r>
        <w:t xml:space="preserve">The framework's core proposition is that AI is appropriate where it extends the visibility and reach of records management, and inappropriate where it substitutes for professional judgement. This distinction is operational, not theoretical: it can be applied to any proposed AI </w:t>
      </w:r>
      <w:r w:rsidR="005F1E73">
        <w:t>deployment and</w:t>
      </w:r>
      <w:r>
        <w:t xml:space="preserve"> produces clear answers in most cases.</w:t>
      </w:r>
    </w:p>
    <w:p w14:paraId="0C83BFFE" w14:textId="77777777" w:rsidR="00774FB3" w:rsidRDefault="00CB6A94" w:rsidP="00F304EF">
      <w:pPr>
        <w:spacing w:after="200" w:line="360" w:lineRule="auto"/>
        <w:jc w:val="both"/>
      </w:pPr>
      <w:r>
        <w:t xml:space="preserve"> </w:t>
      </w:r>
    </w:p>
    <w:p w14:paraId="0C83BFFF" w14:textId="77777777" w:rsidR="00774FB3" w:rsidRDefault="00CB6A94" w:rsidP="00F304EF">
      <w:pPr>
        <w:pStyle w:val="Heading2"/>
        <w:spacing w:after="200" w:line="360" w:lineRule="auto"/>
        <w:jc w:val="both"/>
      </w:pPr>
      <w:r>
        <w:t>4. Methodology and Findings</w:t>
      </w:r>
    </w:p>
    <w:p w14:paraId="0C83C000" w14:textId="77777777" w:rsidR="00774FB3" w:rsidRDefault="00CB6A94" w:rsidP="00F304EF">
      <w:pPr>
        <w:spacing w:after="120" w:line="360" w:lineRule="auto"/>
        <w:jc w:val="both"/>
      </w:pPr>
      <w:r>
        <w:t>The empirical component of this research was conducted through a qualitative study at an anonymised South African SOC. The SOC was selected for its scale, its statutory obligations under the NARSSA Act, and its representative profile of the records management challenges described in Section 2. Semi-structured interviews were conducted with records managers, archivists, IT professionals, information officers, and senior operational staff. The study was conducted under ethical clearance issued by the Universi</w:t>
      </w:r>
      <w:r>
        <w:t>ty of South Africa.</w:t>
      </w:r>
    </w:p>
    <w:p w14:paraId="0C83C002" w14:textId="4F21484E" w:rsidR="00774FB3" w:rsidRDefault="00CB6A94" w:rsidP="005F1E73">
      <w:pPr>
        <w:spacing w:after="200" w:line="360" w:lineRule="auto"/>
        <w:jc w:val="both"/>
      </w:pPr>
      <w:r>
        <w:t xml:space="preserve"> </w:t>
      </w:r>
      <w:r>
        <w:t>Three findings are reported here as relevant to the paper's argument.</w:t>
      </w:r>
    </w:p>
    <w:p w14:paraId="0C83C004" w14:textId="003A784A" w:rsidR="00774FB3" w:rsidRDefault="00CB6A94" w:rsidP="009867EE">
      <w:pPr>
        <w:spacing w:after="200" w:line="360" w:lineRule="auto"/>
        <w:jc w:val="both"/>
      </w:pPr>
      <w:r>
        <w:t xml:space="preserve"> </w:t>
      </w:r>
      <w:r>
        <w:rPr>
          <w:b/>
          <w:bCs/>
        </w:rPr>
        <w:t>Discoverability gains.</w:t>
      </w:r>
      <w:r>
        <w:t xml:space="preserve"> Where AI-enabled discovery was applied to dispersed digital records</w:t>
      </w:r>
      <w:r w:rsidR="009867EE">
        <w:t>,</w:t>
      </w:r>
      <w:r>
        <w:t xml:space="preserve"> through a combination of full-text indexing of </w:t>
      </w:r>
      <w:proofErr w:type="spellStart"/>
      <w:r>
        <w:t>OCR'd</w:t>
      </w:r>
      <w:proofErr w:type="spellEnd"/>
      <w:r>
        <w:t xml:space="preserve"> and </w:t>
      </w:r>
      <w:proofErr w:type="spellStart"/>
      <w:r>
        <w:t>HTR'd</w:t>
      </w:r>
      <w:proofErr w:type="spellEnd"/>
      <w:r>
        <w:t xml:space="preserve"> content, automated entity extraction, and classification against the SOC's file plan</w:t>
      </w:r>
      <w:r w:rsidR="009867EE">
        <w:t>,</w:t>
      </w:r>
      <w:r>
        <w:t xml:space="preserve"> the proportion of enduring-value </w:t>
      </w:r>
      <w:r>
        <w:lastRenderedPageBreak/>
        <w:t>records that could be located and appraised increased substantially, in some categories by an order of magnitude. The most significant gains were in records held outside the formal registry: shared drives, email archives, and scanned material. The gains were smaller, but still meaningful, within already-managed registry content, where AI improved retrieval rather than discovery.</w:t>
      </w:r>
    </w:p>
    <w:p w14:paraId="0C83C006" w14:textId="3F3081CA" w:rsidR="00774FB3" w:rsidRDefault="00CB6A94" w:rsidP="009867EE">
      <w:pPr>
        <w:spacing w:after="200" w:line="360" w:lineRule="auto"/>
        <w:jc w:val="both"/>
      </w:pPr>
      <w:r>
        <w:t xml:space="preserve"> </w:t>
      </w:r>
      <w:r>
        <w:rPr>
          <w:b/>
          <w:bCs/>
        </w:rPr>
        <w:t>Compliance proactivity.</w:t>
      </w:r>
      <w:r>
        <w:t xml:space="preserve"> Records managers reported that AI-enabled capabilities allowed them to shift from reactive compliance</w:t>
      </w:r>
      <w:r w:rsidR="00100062">
        <w:t>,</w:t>
      </w:r>
      <w:r>
        <w:t xml:space="preserve"> responding to PAIA requests, POPIA breaches, or audit findings</w:t>
      </w:r>
      <w:r w:rsidR="00100062">
        <w:t>,</w:t>
      </w:r>
      <w:r>
        <w:t xml:space="preserve"> toward proactive compliance: identifying records requiring restriction before a request was made, locating personal information before a breach occurred, and surfacing records due for transfer to the National Archives before deadlines lapsed. The cultural shift was as significant as the technical capability; records management moved from a downstream remediation function toward an upstream governance function. Modiba (2022:21) reports similar transitions in CSIR's adoption of AI for records management, obs</w:t>
      </w:r>
      <w:r>
        <w:t>erving that the most important shift was not technical but institutional, with records management repositioning itself within the organisational accountability structure.</w:t>
      </w:r>
    </w:p>
    <w:p w14:paraId="0C83C008" w14:textId="07B9C693" w:rsidR="00774FB3" w:rsidRDefault="00CB6A94" w:rsidP="002A4BEA">
      <w:pPr>
        <w:spacing w:after="200" w:line="360" w:lineRule="auto"/>
        <w:jc w:val="both"/>
      </w:pPr>
      <w:r>
        <w:t xml:space="preserve"> </w:t>
      </w:r>
      <w:r>
        <w:rPr>
          <w:b/>
          <w:bCs/>
        </w:rPr>
        <w:t>Risk reduction.</w:t>
      </w:r>
      <w:r>
        <w:t xml:space="preserve"> Quantifying risk reduction is difficult in qualitative research, but the directionality was clear and consistent across respondents. Litigation risk reduced as records previously unfindable became producible. Loss risk reduced as records previously dependent on individual officials' knowledge became institutionally visible. Non-compliance risk reduced as the gap between policy and observable practice narrowed.</w:t>
      </w:r>
    </w:p>
    <w:p w14:paraId="0C83C00A" w14:textId="510393F2" w:rsidR="00774FB3" w:rsidRDefault="00CB6A94" w:rsidP="002A4BEA">
      <w:pPr>
        <w:spacing w:after="200" w:line="360" w:lineRule="auto"/>
        <w:jc w:val="both"/>
      </w:pPr>
      <w:r>
        <w:t xml:space="preserve"> </w:t>
      </w:r>
      <w:r>
        <w:t>These findings should be read with appropriate care. They derive from a single SOC and reflect that institution's particular records environment, regulatory obligations, and willingness to invest in implementation. Generalisation to other SOCs requires further empirical work. The findings are nevertheless sufficient to support the argument that AI, applied within the framework described above, produces meaningful accessibility gains.</w:t>
      </w:r>
    </w:p>
    <w:p w14:paraId="0C83C00D" w14:textId="479AF766" w:rsidR="00774FB3" w:rsidRDefault="00CB6A94" w:rsidP="002A4BEA">
      <w:pPr>
        <w:spacing w:after="200" w:line="360" w:lineRule="auto"/>
        <w:jc w:val="both"/>
      </w:pPr>
      <w:r>
        <w:t xml:space="preserve"> </w:t>
      </w:r>
      <w:r>
        <w:t xml:space="preserve"> </w:t>
      </w:r>
    </w:p>
    <w:p w14:paraId="0C83C00E" w14:textId="77777777" w:rsidR="00774FB3" w:rsidRDefault="00CB6A94" w:rsidP="00F304EF">
      <w:pPr>
        <w:pStyle w:val="Heading2"/>
        <w:spacing w:after="200" w:line="360" w:lineRule="auto"/>
        <w:jc w:val="both"/>
      </w:pPr>
      <w:r>
        <w:t>5. Implementation: A Practical How</w:t>
      </w:r>
    </w:p>
    <w:p w14:paraId="0C83C010" w14:textId="0CB16526" w:rsidR="00774FB3" w:rsidRDefault="00CB6A94" w:rsidP="002A4BEA">
      <w:pPr>
        <w:spacing w:after="120" w:line="360" w:lineRule="auto"/>
        <w:jc w:val="both"/>
      </w:pPr>
      <w:r>
        <w:t>This section sets out the practical implementation of the framework. It is organised around the records lifecycle</w:t>
      </w:r>
      <w:r w:rsidR="005A2B40">
        <w:t>;</w:t>
      </w:r>
      <w:r>
        <w:t xml:space="preserve"> creation, capture, classification, retrieval, retention, and disposal</w:t>
      </w:r>
      <w:r w:rsidR="005A2B40">
        <w:t>;</w:t>
      </w:r>
      <w:r>
        <w:t xml:space="preserve"> and within each stage describes the AI capabilities that extend the records manager's reach. The aim is to </w:t>
      </w:r>
      <w:r>
        <w:lastRenderedPageBreak/>
        <w:t>give SASA delegates a concrete picture of what an AI-enabled records management programme looks like in practice.</w:t>
      </w:r>
      <w:r>
        <w:t xml:space="preserve"> </w:t>
      </w:r>
    </w:p>
    <w:p w14:paraId="0C83C011" w14:textId="77777777" w:rsidR="00774FB3" w:rsidRDefault="00CB6A94" w:rsidP="00F304EF">
      <w:pPr>
        <w:pStyle w:val="Heading3"/>
        <w:spacing w:after="200" w:line="360" w:lineRule="auto"/>
        <w:jc w:val="both"/>
      </w:pPr>
      <w:r>
        <w:t>5.1 Creation and Capture</w:t>
      </w:r>
    </w:p>
    <w:p w14:paraId="0C83C012" w14:textId="5669512A" w:rsidR="00774FB3" w:rsidRDefault="00CB6A94" w:rsidP="00F304EF">
      <w:pPr>
        <w:spacing w:after="120" w:line="360" w:lineRule="auto"/>
        <w:jc w:val="both"/>
      </w:pPr>
      <w:r>
        <w:t>T</w:t>
      </w:r>
      <w:r>
        <w:t>he first accessibility gain is at the point of creation. Most records of enduring value never enter the registry because the capture process</w:t>
      </w:r>
      <w:r w:rsidR="005A2B40">
        <w:t>;</w:t>
      </w:r>
      <w:r>
        <w:t xml:space="preserve"> a form, a registration step, an email-to-registry workflow</w:t>
      </w:r>
      <w:r w:rsidR="005A2B40">
        <w:t>;</w:t>
      </w:r>
      <w:r>
        <w:t xml:space="preserve"> adds friction the creator avoids. AI-enabled capture reduces this friction in three ways.</w:t>
      </w:r>
    </w:p>
    <w:p w14:paraId="0C83C014" w14:textId="79C48A1C" w:rsidR="00774FB3" w:rsidRDefault="00CB6A94" w:rsidP="005A2B40">
      <w:pPr>
        <w:spacing w:after="200" w:line="360" w:lineRule="auto"/>
        <w:jc w:val="both"/>
      </w:pPr>
      <w:r>
        <w:t xml:space="preserve"> </w:t>
      </w:r>
      <w:r>
        <w:rPr>
          <w:i/>
          <w:iCs/>
        </w:rPr>
        <w:t>Automated metadata suggestion.</w:t>
      </w:r>
      <w:r>
        <w:t xml:space="preserve"> When an official saves a document or sends an email, the system can suggest classification against the file plan, propose relevant retention triggers, and identify likely subject entities (people, organisations, places, projects). The official accepts, adjusts, or rejects the suggestions. Capture becomes a near-zero-effort act for the creator while producing structured metadata for the records manager.</w:t>
      </w:r>
    </w:p>
    <w:p w14:paraId="0C83C016" w14:textId="30DB8F0B" w:rsidR="00774FB3" w:rsidRDefault="00CB6A94" w:rsidP="005A2B40">
      <w:pPr>
        <w:spacing w:after="200" w:line="360" w:lineRule="auto"/>
        <w:jc w:val="both"/>
      </w:pPr>
      <w:r>
        <w:t xml:space="preserve"> </w:t>
      </w:r>
      <w:r>
        <w:rPr>
          <w:i/>
          <w:iCs/>
        </w:rPr>
        <w:t>Email and chat capture.</w:t>
      </w:r>
      <w:r>
        <w:t xml:space="preserve"> Email systems can be configured to identify messages likely to carry enduring value</w:t>
      </w:r>
      <w:r w:rsidR="0046306C">
        <w:t>;</w:t>
      </w:r>
      <w:r>
        <w:t xml:space="preserve"> based on sender, recipient, subject patterns, attachment types, and content</w:t>
      </w:r>
      <w:r w:rsidR="0046306C">
        <w:t>;</w:t>
      </w:r>
      <w:r>
        <w:t xml:space="preserve"> and flag them for capture. The records manager reviews the flags; capture is no longer dependent on the sender's discretion.</w:t>
      </w:r>
    </w:p>
    <w:p w14:paraId="0C83C019" w14:textId="12220179" w:rsidR="00774FB3" w:rsidRDefault="00CB6A94" w:rsidP="0046306C">
      <w:pPr>
        <w:spacing w:after="200" w:line="360" w:lineRule="auto"/>
        <w:jc w:val="both"/>
      </w:pPr>
      <w:r>
        <w:t xml:space="preserve"> </w:t>
      </w:r>
      <w:r>
        <w:rPr>
          <w:i/>
          <w:iCs/>
        </w:rPr>
        <w:t>Scan station integration.</w:t>
      </w:r>
      <w:r>
        <w:t xml:space="preserve"> Physical records arriving via scan stations are processed through OCR for typed content and handwritten text recognition for manuscript material. South African operational records, particularly in older holdings, include substantial handwritten content</w:t>
      </w:r>
      <w:r w:rsidR="0046306C">
        <w:t>;</w:t>
      </w:r>
      <w:r>
        <w:t xml:space="preserve"> incident reports, registers, vital records</w:t>
      </w:r>
      <w:r w:rsidR="0046306C">
        <w:t>;</w:t>
      </w:r>
      <w:r>
        <w:t xml:space="preserve"> that has historically been invisible to digital discovery. HTR makes this material searchable.</w:t>
      </w:r>
      <w:r>
        <w:t xml:space="preserve"> </w:t>
      </w:r>
    </w:p>
    <w:p w14:paraId="0C83C01A" w14:textId="77777777" w:rsidR="00774FB3" w:rsidRDefault="00CB6A94" w:rsidP="00F304EF">
      <w:pPr>
        <w:pStyle w:val="Heading3"/>
        <w:spacing w:after="200" w:line="360" w:lineRule="auto"/>
        <w:jc w:val="both"/>
      </w:pPr>
      <w:r>
        <w:t>5.2 Classification</w:t>
      </w:r>
    </w:p>
    <w:p w14:paraId="0C83C01B" w14:textId="77777777" w:rsidR="00774FB3" w:rsidRDefault="00CB6A94" w:rsidP="00F304EF">
      <w:pPr>
        <w:spacing w:after="120" w:line="360" w:lineRule="auto"/>
        <w:jc w:val="both"/>
      </w:pPr>
      <w:r>
        <w:t>Classification is where the registry meets the file plan. AI-assisted classification operates at two levels.</w:t>
      </w:r>
    </w:p>
    <w:p w14:paraId="0C83C01D" w14:textId="506318F9" w:rsidR="00774FB3" w:rsidRDefault="00CB6A94" w:rsidP="0046306C">
      <w:pPr>
        <w:spacing w:after="200" w:line="360" w:lineRule="auto"/>
        <w:jc w:val="both"/>
      </w:pPr>
      <w:r>
        <w:t xml:space="preserve"> </w:t>
      </w:r>
      <w:r>
        <w:rPr>
          <w:i/>
          <w:iCs/>
        </w:rPr>
        <w:t>File plan classification.</w:t>
      </w:r>
      <w:r>
        <w:t xml:space="preserve"> Documents are classified against the SOC's file plan automatically, with confidence scores. Documents above a confidence threshold are filed without intervention; documents below are queued for records manager review. The threshold is set by the records manager, not the system, and is auditable. Over time, the system learns from the manager's overrides, but the manager retains authority over edge cases throughout.</w:t>
      </w:r>
    </w:p>
    <w:p w14:paraId="0C83C01E" w14:textId="77777777" w:rsidR="00774FB3" w:rsidRDefault="00CB6A94" w:rsidP="00F304EF">
      <w:pPr>
        <w:spacing w:after="200" w:line="360" w:lineRule="auto"/>
        <w:jc w:val="both"/>
      </w:pPr>
      <w:r>
        <w:lastRenderedPageBreak/>
        <w:t xml:space="preserve"> </w:t>
      </w:r>
    </w:p>
    <w:p w14:paraId="0C83C020" w14:textId="1112F918" w:rsidR="00774FB3" w:rsidRDefault="00CB6A94" w:rsidP="00C2781A">
      <w:pPr>
        <w:spacing w:after="120" w:line="360" w:lineRule="auto"/>
        <w:jc w:val="both"/>
      </w:pPr>
      <w:r>
        <w:rPr>
          <w:i/>
          <w:iCs/>
        </w:rPr>
        <w:t>Entity extraction.</w:t>
      </w:r>
      <w:r>
        <w:t xml:space="preserve"> Named entity recognition extracts people, organisations, places, dates, monetary amounts, and other entities mentioned in the record. This produces a structured index that supports retrieval, supports POPIA compliance (personal information becomes locatable rather than buried in unstructured text), and supports archival description.</w:t>
      </w:r>
      <w:r>
        <w:t xml:space="preserve"> </w:t>
      </w:r>
    </w:p>
    <w:p w14:paraId="0C83C021" w14:textId="77777777" w:rsidR="00774FB3" w:rsidRDefault="00CB6A94" w:rsidP="00F304EF">
      <w:pPr>
        <w:pStyle w:val="Heading3"/>
        <w:spacing w:after="200" w:line="360" w:lineRule="auto"/>
        <w:jc w:val="both"/>
      </w:pPr>
      <w:r>
        <w:t>5.3 Retrieval</w:t>
      </w:r>
    </w:p>
    <w:p w14:paraId="0C83C022" w14:textId="27304878" w:rsidR="00774FB3" w:rsidRDefault="00CB6A94" w:rsidP="00F304EF">
      <w:pPr>
        <w:spacing w:after="120" w:line="360" w:lineRule="auto"/>
        <w:jc w:val="both"/>
      </w:pPr>
      <w:r>
        <w:t>Retrieval is where accessibility gains are most visible to end users</w:t>
      </w:r>
      <w:r w:rsidR="00C2781A">
        <w:t>;</w:t>
      </w:r>
      <w:r>
        <w:t xml:space="preserve"> the officials, citizens, researchers, and oversight bodies who need to find records.</w:t>
      </w:r>
    </w:p>
    <w:p w14:paraId="0C83C024" w14:textId="65EEDA59" w:rsidR="00774FB3" w:rsidRDefault="00CB6A94" w:rsidP="00C2781A">
      <w:pPr>
        <w:spacing w:after="200" w:line="360" w:lineRule="auto"/>
        <w:jc w:val="both"/>
      </w:pPr>
      <w:r>
        <w:t xml:space="preserve"> </w:t>
      </w:r>
      <w:r>
        <w:rPr>
          <w:i/>
          <w:iCs/>
        </w:rPr>
        <w:t>Hybrid retrieval.</w:t>
      </w:r>
      <w:r>
        <w:t xml:space="preserve"> Pure keyword search misses records that use different vocabulary for the same concept. Pure semantic search returns results that feel relevant but are not provably so. Hybrid retrieval combines keyword matching, entity matching, and semantic similarity, weighted to the records management context. Results are ranked with explanations: </w:t>
      </w:r>
      <w:r>
        <w:rPr>
          <w:i/>
          <w:iCs/>
        </w:rPr>
        <w:t>why</w:t>
      </w:r>
      <w:r>
        <w:t xml:space="preserve"> a record was retrieved is as important as </w:t>
      </w:r>
      <w:r>
        <w:rPr>
          <w:i/>
          <w:iCs/>
        </w:rPr>
        <w:t>that</w:t>
      </w:r>
      <w:r>
        <w:t xml:space="preserve"> it was retrieved.</w:t>
      </w:r>
    </w:p>
    <w:p w14:paraId="0C83C026" w14:textId="7195DA6B" w:rsidR="00774FB3" w:rsidRDefault="00CB6A94" w:rsidP="00C2781A">
      <w:pPr>
        <w:spacing w:after="200" w:line="360" w:lineRule="auto"/>
        <w:jc w:val="both"/>
      </w:pPr>
      <w:r>
        <w:t xml:space="preserve"> </w:t>
      </w:r>
      <w:r>
        <w:rPr>
          <w:i/>
          <w:iCs/>
        </w:rPr>
        <w:t>Multilingual access.</w:t>
      </w:r>
      <w:r>
        <w:t xml:space="preserve"> In a country with eleven official languages, records management cannot be monolingual. Machine translation, applied at retrieval time rather than at storage time, allows a user searching in English to find records described in isiZulu, Afrikaans, Sesotho, or any other language</w:t>
      </w:r>
      <w:r w:rsidR="00750667">
        <w:t>,</w:t>
      </w:r>
      <w:r>
        <w:t xml:space="preserve"> and vice versa. The original language description is preserved; translation is an access layer, not a replacement.</w:t>
      </w:r>
    </w:p>
    <w:p w14:paraId="0C83C029" w14:textId="340953F0" w:rsidR="00774FB3" w:rsidRDefault="00CB6A94" w:rsidP="00750667">
      <w:pPr>
        <w:spacing w:after="200" w:line="360" w:lineRule="auto"/>
        <w:jc w:val="both"/>
      </w:pPr>
      <w:r>
        <w:t xml:space="preserve"> </w:t>
      </w:r>
      <w:r>
        <w:rPr>
          <w:i/>
          <w:iCs/>
        </w:rPr>
        <w:t>Provenance-aware results.</w:t>
      </w:r>
      <w:r>
        <w:t xml:space="preserve"> Every result </w:t>
      </w:r>
      <w:r w:rsidR="00750667">
        <w:t>carry</w:t>
      </w:r>
      <w:r>
        <w:t xml:space="preserve"> provenance</w:t>
      </w:r>
      <w:r w:rsidR="00750667">
        <w:t>;</w:t>
      </w:r>
      <w:r>
        <w:t xml:space="preserve"> where the record came from, how it was classified, what AI processes touched it, what confidence scores apply, and where human review occurred. The user can trust the result not because the system asserts authority but because the system shows </w:t>
      </w:r>
      <w:r w:rsidR="00750667">
        <w:t>it’s</w:t>
      </w:r>
      <w:r>
        <w:t xml:space="preserve"> working.</w:t>
      </w:r>
      <w:r>
        <w:t xml:space="preserve"> </w:t>
      </w:r>
    </w:p>
    <w:p w14:paraId="0C83C02A" w14:textId="77777777" w:rsidR="00774FB3" w:rsidRDefault="00CB6A94" w:rsidP="00F304EF">
      <w:pPr>
        <w:pStyle w:val="Heading3"/>
        <w:spacing w:after="200" w:line="360" w:lineRule="auto"/>
        <w:jc w:val="both"/>
      </w:pPr>
      <w:r>
        <w:t>5.4 Retention and Disposal</w:t>
      </w:r>
    </w:p>
    <w:p w14:paraId="0C83C02B" w14:textId="77777777" w:rsidR="00774FB3" w:rsidRDefault="00CB6A94" w:rsidP="00F304EF">
      <w:pPr>
        <w:spacing w:after="120" w:line="360" w:lineRule="auto"/>
        <w:jc w:val="both"/>
      </w:pPr>
      <w:r>
        <w:t>Records management's most regulated function is the application of retention schedules and the disposal of records that have reached the end of their retention period. AI supports this function in two ways.</w:t>
      </w:r>
    </w:p>
    <w:p w14:paraId="0C83C02D" w14:textId="778354DB" w:rsidR="00774FB3" w:rsidRDefault="00CB6A94" w:rsidP="00750667">
      <w:pPr>
        <w:spacing w:after="200" w:line="360" w:lineRule="auto"/>
        <w:jc w:val="both"/>
      </w:pPr>
      <w:r>
        <w:t xml:space="preserve"> </w:t>
      </w:r>
      <w:r>
        <w:rPr>
          <w:i/>
          <w:iCs/>
        </w:rPr>
        <w:t>Schedule mapping.</w:t>
      </w:r>
      <w:r>
        <w:t xml:space="preserve"> AI classifies records against retention schedules issued under the NARSSA Act. Records of archival value are flagged for transfer; records of temporary value are flagged </w:t>
      </w:r>
      <w:r>
        <w:lastRenderedPageBreak/>
        <w:t>for disposal at the appropriate time. The records manager reviews and authorises; the AI does not dispose of records.</w:t>
      </w:r>
    </w:p>
    <w:p w14:paraId="0C83C030" w14:textId="1F3503D1" w:rsidR="00774FB3" w:rsidRDefault="00CB6A94" w:rsidP="00750667">
      <w:pPr>
        <w:spacing w:after="200" w:line="360" w:lineRule="auto"/>
        <w:jc w:val="both"/>
      </w:pPr>
      <w:r>
        <w:t xml:space="preserve"> </w:t>
      </w:r>
      <w:r>
        <w:rPr>
          <w:i/>
          <w:iCs/>
        </w:rPr>
        <w:t>Event-based triggers.</w:t>
      </w:r>
      <w:r>
        <w:t xml:space="preserve"> Retention triggers are often event-based</w:t>
      </w:r>
      <w:r w:rsidR="00750667">
        <w:t>;</w:t>
      </w:r>
      <w:r>
        <w:t xml:space="preserve"> a contract ends, a case closes, an employee leaves</w:t>
      </w:r>
      <w:r w:rsidR="00750667">
        <w:t>;</w:t>
      </w:r>
      <w:r>
        <w:t xml:space="preserve"> rather than time-based. AI can identify these events in the records themselves and apply the corresponding triggers, surfacing records for review at the right moment rather than at fixed intervals.</w:t>
      </w:r>
      <w:r>
        <w:t xml:space="preserve"> </w:t>
      </w:r>
    </w:p>
    <w:p w14:paraId="0C83C031" w14:textId="77777777" w:rsidR="00774FB3" w:rsidRDefault="00CB6A94" w:rsidP="00F304EF">
      <w:pPr>
        <w:pStyle w:val="Heading3"/>
        <w:spacing w:after="200" w:line="360" w:lineRule="auto"/>
        <w:jc w:val="both"/>
      </w:pPr>
      <w:r>
        <w:t>5.5 Archival Description and Transfer</w:t>
      </w:r>
    </w:p>
    <w:p w14:paraId="0C83C033" w14:textId="0D8124A7" w:rsidR="00774FB3" w:rsidRDefault="00CB6A94" w:rsidP="00750667">
      <w:pPr>
        <w:spacing w:after="120" w:line="360" w:lineRule="auto"/>
        <w:jc w:val="both"/>
      </w:pPr>
      <w:r>
        <w:t>Records transferred to the National Archives, or to the SOC's own archival custody, require archival description according to internationally recognised standards. AI supports archival description by drafting descriptions from the records themselves: extracting dates, identifying creators, summarising content, suggesting access conditions. The archivist reviews, corrects, and approves. The same provenance-aware approach applies: every AI-drafted element is recorded as such, with confidence scores and review</w:t>
      </w:r>
      <w:r>
        <w:t xml:space="preserve"> status, so that subsequent users can distinguish AI-assisted description from human-authored description.</w:t>
      </w:r>
      <w:r>
        <w:t xml:space="preserve"> </w:t>
      </w:r>
    </w:p>
    <w:p w14:paraId="0C83C034" w14:textId="77777777" w:rsidR="00774FB3" w:rsidRDefault="00CB6A94" w:rsidP="00F304EF">
      <w:pPr>
        <w:pStyle w:val="Heading3"/>
        <w:spacing w:after="200" w:line="360" w:lineRule="auto"/>
        <w:jc w:val="both"/>
      </w:pPr>
      <w:r>
        <w:t>5.6 The Platform Question</w:t>
      </w:r>
    </w:p>
    <w:p w14:paraId="0C83C036" w14:textId="1A01AEB6" w:rsidR="00774FB3" w:rsidRDefault="00CB6A94" w:rsidP="00C57936">
      <w:pPr>
        <w:spacing w:after="120" w:line="360" w:lineRule="auto"/>
        <w:jc w:val="both"/>
      </w:pPr>
      <w:r>
        <w:t>The capabilities described above are implemented through platforms</w:t>
      </w:r>
      <w:r w:rsidR="00C57936">
        <w:t>;</w:t>
      </w:r>
      <w:r>
        <w:t xml:space="preserve"> software systems that integrate the AI components, the records management workflows, and the institutional governance. South African archival institutions face a particular choice in this regard. Commercial platforms, typically developed in North America or Europe, offer mature feature sets but carry costs, dependencies, and design assumptions that do not always align with South African contexts: South African languages, South African regulatory instruments, South African budgetary realities, South African</w:t>
      </w:r>
      <w:r>
        <w:t xml:space="preserve"> data sovereignty obligations.</w:t>
      </w:r>
      <w:r>
        <w:t xml:space="preserve"> </w:t>
      </w:r>
    </w:p>
    <w:p w14:paraId="0C83C037" w14:textId="641018C0" w:rsidR="00774FB3" w:rsidRDefault="00CB6A94" w:rsidP="00F304EF">
      <w:pPr>
        <w:spacing w:after="120" w:line="360" w:lineRule="auto"/>
        <w:jc w:val="both"/>
      </w:pPr>
      <w:r>
        <w:t>An alternative is the use of open-source platforms developed within South Africa, designed for South African archival and records management contexts. Such platforms implement the same international standards (ISO 15489, ISAD(G), ISAAR-CPF), apply the same AI capabilities, and produce the same accessibility gains</w:t>
      </w:r>
      <w:r w:rsidR="00C57936">
        <w:t>,</w:t>
      </w:r>
      <w:r>
        <w:t xml:space="preserve"> but at lower cost, with greater institutional control, and without the data sovereignty concerns that attach to offshore-hosted commercial alternatives. The platform question is not a technical detail; it is a strategic question about who owns the infrastructure on which national documentary heritage depends.</w:t>
      </w:r>
    </w:p>
    <w:p w14:paraId="0C83C038" w14:textId="77777777" w:rsidR="00774FB3" w:rsidRDefault="00CB6A94" w:rsidP="00F304EF">
      <w:pPr>
        <w:spacing w:after="200" w:line="360" w:lineRule="auto"/>
        <w:jc w:val="both"/>
      </w:pPr>
      <w:r>
        <w:t xml:space="preserve"> </w:t>
      </w:r>
    </w:p>
    <w:p w14:paraId="0C83C03A" w14:textId="77777777" w:rsidR="00774FB3" w:rsidRDefault="00CB6A94" w:rsidP="00F304EF">
      <w:pPr>
        <w:spacing w:after="200" w:line="360" w:lineRule="auto"/>
        <w:jc w:val="both"/>
      </w:pPr>
      <w:r>
        <w:lastRenderedPageBreak/>
        <w:t xml:space="preserve"> </w:t>
      </w:r>
    </w:p>
    <w:p w14:paraId="0C83C03B" w14:textId="77777777" w:rsidR="00774FB3" w:rsidRDefault="00CB6A94" w:rsidP="00F304EF">
      <w:pPr>
        <w:pStyle w:val="Heading2"/>
        <w:spacing w:after="200" w:line="360" w:lineRule="auto"/>
        <w:jc w:val="both"/>
      </w:pPr>
      <w:r>
        <w:t>6. Governance, Ethics, and the Limits of AI</w:t>
      </w:r>
    </w:p>
    <w:p w14:paraId="0C83C03C" w14:textId="77777777" w:rsidR="00774FB3" w:rsidRDefault="00CB6A94" w:rsidP="00F304EF">
      <w:pPr>
        <w:spacing w:after="120" w:line="360" w:lineRule="auto"/>
        <w:jc w:val="both"/>
      </w:pPr>
      <w:r>
        <w:t>The argument of this paper is not that AI should be adopted widely; it is that AI, adopted carefully, addresses a real accessibility crisis. The qualifier matters.</w:t>
      </w:r>
    </w:p>
    <w:p w14:paraId="0C83C03E" w14:textId="4DFF46FC" w:rsidR="00774FB3" w:rsidRDefault="00CB6A94" w:rsidP="00C57936">
      <w:pPr>
        <w:spacing w:after="200" w:line="360" w:lineRule="auto"/>
        <w:jc w:val="both"/>
      </w:pPr>
      <w:r>
        <w:t xml:space="preserve"> </w:t>
      </w:r>
      <w:r>
        <w:rPr>
          <w:b/>
          <w:bCs/>
        </w:rPr>
        <w:t>AI does not appraise records.</w:t>
      </w:r>
      <w:r>
        <w:t xml:space="preserve"> Appraisal</w:t>
      </w:r>
      <w:r w:rsidR="00BC40DF">
        <w:t>,</w:t>
      </w:r>
      <w:r>
        <w:t xml:space="preserve"> the determination of enduring value</w:t>
      </w:r>
      <w:r w:rsidR="00BC40DF">
        <w:t>,</w:t>
      </w:r>
      <w:r>
        <w:t xml:space="preserve"> is a professional judgement that depends on context, on knowledge of the institution and its history, and on accountability to future users. AI can support appraisal by surfacing candidates, by identifying patterns, by reducing the manual labour of review. It cannot make appraisal decisions, and any system that purports to do so should be treated with suspicion.</w:t>
      </w:r>
    </w:p>
    <w:p w14:paraId="0C83C041" w14:textId="6AD479F8" w:rsidR="00774FB3" w:rsidRDefault="00CB6A94" w:rsidP="00BC40DF">
      <w:pPr>
        <w:spacing w:after="200" w:line="360" w:lineRule="auto"/>
        <w:jc w:val="both"/>
      </w:pPr>
      <w:r>
        <w:t xml:space="preserve"> </w:t>
      </w:r>
      <w:r>
        <w:rPr>
          <w:b/>
          <w:bCs/>
        </w:rPr>
        <w:t>AI requires audit trails.</w:t>
      </w:r>
      <w:r>
        <w:t xml:space="preserve"> Every AI-assisted decision in the records management lifecycle should be recorded with sufficient detail that it can be reviewed later: which model, what inputs, what outputs, what confidence, what human review occurred. This is not optional. It is a precondition of the records management function itself, which depends on the trustworthiness of its own decisions.</w:t>
      </w:r>
      <w:r>
        <w:t xml:space="preserve"> </w:t>
      </w:r>
    </w:p>
    <w:p w14:paraId="0C83C043" w14:textId="7B660B4E" w:rsidR="00774FB3" w:rsidRDefault="00CB6A94" w:rsidP="002E0E9F">
      <w:pPr>
        <w:spacing w:after="120" w:line="360" w:lineRule="auto"/>
        <w:jc w:val="both"/>
      </w:pPr>
      <w:r>
        <w:rPr>
          <w:b/>
          <w:bCs/>
        </w:rPr>
        <w:t>AI requires governance documents.</w:t>
      </w:r>
      <w:r>
        <w:t xml:space="preserve"> Data protection impact assessments under POPIA should be conducted for any AI processing personal information. Model documentation</w:t>
      </w:r>
      <w:r w:rsidR="00BC40DF">
        <w:t>;</w:t>
      </w:r>
      <w:r>
        <w:t xml:space="preserve"> what the model does, on what data it was trained, what its known limitations are</w:t>
      </w:r>
      <w:r w:rsidR="00BC40DF">
        <w:t>,</w:t>
      </w:r>
      <w:r>
        <w:t xml:space="preserve"> should be available to records managers and made discoverable to records subjects on request. The discipline that the records management profession applies to records should apply equally to the AI systems acting on records.</w:t>
      </w:r>
      <w:r>
        <w:t xml:space="preserve"> </w:t>
      </w:r>
    </w:p>
    <w:p w14:paraId="0C83C045" w14:textId="58D94D7C" w:rsidR="00774FB3" w:rsidRDefault="00CB6A94" w:rsidP="002E0E9F">
      <w:pPr>
        <w:spacing w:after="120" w:line="360" w:lineRule="auto"/>
        <w:jc w:val="both"/>
      </w:pPr>
      <w:r>
        <w:rPr>
          <w:b/>
          <w:bCs/>
        </w:rPr>
        <w:t>AI requires ethical review.</w:t>
      </w:r>
      <w:r>
        <w:t xml:space="preserve"> Mittelstadt et al. (2016:5) caution that algorithmic systems carry risks of bias, opacity, and inappropriate inference that are not hypothetical. South African archival contexts include records of colonial administration, apartheid governance, post-1994 transformation, and contemporary public service</w:t>
      </w:r>
      <w:r w:rsidR="002E0E9F">
        <w:t>,</w:t>
      </w:r>
      <w:r>
        <w:t xml:space="preserve"> material that requires ethical handling. AI applied to this material without ethical review will reproduce, and may amplify, the inequities embedded in the original records.</w:t>
      </w:r>
      <w:r>
        <w:t xml:space="preserve"> </w:t>
      </w:r>
    </w:p>
    <w:p w14:paraId="0C83C046" w14:textId="46442007" w:rsidR="00774FB3" w:rsidRDefault="00CB6A94" w:rsidP="00F304EF">
      <w:pPr>
        <w:spacing w:after="120" w:line="360" w:lineRule="auto"/>
        <w:jc w:val="both"/>
      </w:pPr>
      <w:r>
        <w:t xml:space="preserve">The framework presented in Section 3 holds these requirements together. AI is not a separate concern from records management ethics; it is a new instance of the same </w:t>
      </w:r>
      <w:r w:rsidR="002E0E9F">
        <w:t>concern and</w:t>
      </w:r>
      <w:r>
        <w:t xml:space="preserve"> should be governed accordingly.</w:t>
      </w:r>
    </w:p>
    <w:p w14:paraId="0C83C047" w14:textId="77777777" w:rsidR="00774FB3" w:rsidRDefault="00CB6A94" w:rsidP="00F304EF">
      <w:pPr>
        <w:spacing w:after="200" w:line="360" w:lineRule="auto"/>
        <w:jc w:val="both"/>
      </w:pPr>
      <w:r>
        <w:t xml:space="preserve"> </w:t>
      </w:r>
    </w:p>
    <w:p w14:paraId="0C83C049" w14:textId="77777777" w:rsidR="00774FB3" w:rsidRDefault="00CB6A94" w:rsidP="00F304EF">
      <w:pPr>
        <w:spacing w:after="200" w:line="360" w:lineRule="auto"/>
        <w:jc w:val="both"/>
      </w:pPr>
      <w:r>
        <w:lastRenderedPageBreak/>
        <w:t xml:space="preserve"> </w:t>
      </w:r>
    </w:p>
    <w:p w14:paraId="0C83C04A" w14:textId="77777777" w:rsidR="00774FB3" w:rsidRDefault="00CB6A94" w:rsidP="00F304EF">
      <w:pPr>
        <w:pStyle w:val="Heading2"/>
        <w:spacing w:after="200" w:line="360" w:lineRule="auto"/>
        <w:jc w:val="both"/>
      </w:pPr>
      <w:r>
        <w:t>7. Recommendations for the South African Archival Profession</w:t>
      </w:r>
    </w:p>
    <w:p w14:paraId="0C83C04B" w14:textId="77777777" w:rsidR="00774FB3" w:rsidRDefault="00CB6A94" w:rsidP="00F304EF">
      <w:pPr>
        <w:spacing w:after="120" w:line="360" w:lineRule="auto"/>
        <w:jc w:val="both"/>
      </w:pPr>
      <w:r>
        <w:t>The paper closes with five recommendations.</w:t>
      </w:r>
    </w:p>
    <w:p w14:paraId="0C83C04D" w14:textId="100B196C" w:rsidR="00774FB3" w:rsidRDefault="00CB6A94" w:rsidP="002E0E9F">
      <w:pPr>
        <w:spacing w:after="200" w:line="360" w:lineRule="auto"/>
        <w:jc w:val="both"/>
      </w:pPr>
      <w:r>
        <w:t xml:space="preserve"> </w:t>
      </w:r>
      <w:r>
        <w:rPr>
          <w:b/>
          <w:bCs/>
        </w:rPr>
        <w:t>One.</w:t>
      </w:r>
      <w:r>
        <w:t xml:space="preserve"> SOCs should treat the accessibility of records with enduring value as a measurable indicator, not as an assumption. Discoverability, retrievability, and transfer rates should be reported alongside other governance metrics, with the same seriousness.</w:t>
      </w:r>
    </w:p>
    <w:p w14:paraId="0C83C04F" w14:textId="13A8FED5" w:rsidR="00774FB3" w:rsidRDefault="00CB6A94" w:rsidP="002E0E9F">
      <w:pPr>
        <w:spacing w:after="200" w:line="360" w:lineRule="auto"/>
        <w:jc w:val="both"/>
      </w:pPr>
      <w:r>
        <w:t xml:space="preserve"> </w:t>
      </w:r>
      <w:r>
        <w:rPr>
          <w:b/>
          <w:bCs/>
        </w:rPr>
        <w:t>Two.</w:t>
      </w:r>
      <w:r>
        <w:t xml:space="preserve"> The records management profession should engage with AI directly rather than at arm's length. Records managers and archivists who do not understand AI's capabilities and limits will find AI deployed around them, by parties whose priorities are not records management priorities. The profession's voice in AI adoption decisions depends on the profession's literacy. Kalusopa and Mosweu (2023:45) identify digital skills gaps among records practitioners as one of the most pressing challenges facing the professio</w:t>
      </w:r>
      <w:r>
        <w:t>n in the digital era; closing this gap is a precondition of meaningful engagement with AI.</w:t>
      </w:r>
    </w:p>
    <w:p w14:paraId="0C83C051" w14:textId="7D2C2D01" w:rsidR="00774FB3" w:rsidRDefault="00CB6A94" w:rsidP="002E0E9F">
      <w:pPr>
        <w:spacing w:after="200" w:line="360" w:lineRule="auto"/>
        <w:jc w:val="both"/>
      </w:pPr>
      <w:r>
        <w:t xml:space="preserve"> </w:t>
      </w:r>
      <w:r>
        <w:rPr>
          <w:b/>
          <w:bCs/>
        </w:rPr>
        <w:t>Three.</w:t>
      </w:r>
      <w:r>
        <w:t xml:space="preserve"> The National Archives, the South African Society of Archivists, and the universities preparing the next generation of records professionals should collaborate on AI guidance specific to the South African context. International guidance exists but does not address South African language obligations, regulatory instruments, or institutional realities. Mojapelo and Marutha (2023:212) call for curriculum reform that integrates emerging technologies into archival education; South African guidance should b</w:t>
      </w:r>
      <w:r>
        <w:t>e one outcome of that reform.</w:t>
      </w:r>
    </w:p>
    <w:p w14:paraId="0C83C053" w14:textId="4C80B39C" w:rsidR="00774FB3" w:rsidRDefault="00CB6A94" w:rsidP="002E0E9F">
      <w:pPr>
        <w:spacing w:after="200" w:line="360" w:lineRule="auto"/>
        <w:jc w:val="both"/>
      </w:pPr>
      <w:r>
        <w:t xml:space="preserve"> </w:t>
      </w:r>
      <w:r>
        <w:rPr>
          <w:b/>
          <w:bCs/>
        </w:rPr>
        <w:t>Four.</w:t>
      </w:r>
      <w:r>
        <w:t xml:space="preserve"> Open-source archival and records management platforms developed within South Africa deserve professional support. They are not the only path, and they are not appropriate for every institution, but they represent a sovereign alternative to the dependency relationships that have historically defined African archival infrastructure. The choice of infrastructure is itself an archival decision.</w:t>
      </w:r>
    </w:p>
    <w:p w14:paraId="0C83C055" w14:textId="461F1323" w:rsidR="00774FB3" w:rsidRDefault="00CB6A94" w:rsidP="002E0E9F">
      <w:pPr>
        <w:spacing w:after="200" w:line="360" w:lineRule="auto"/>
        <w:jc w:val="both"/>
      </w:pPr>
      <w:r>
        <w:t xml:space="preserve"> </w:t>
      </w:r>
      <w:r>
        <w:rPr>
          <w:b/>
          <w:bCs/>
        </w:rPr>
        <w:t>Five.</w:t>
      </w:r>
      <w:r>
        <w:t xml:space="preserve"> Research on AI in records management should be empirical, situated, and ongoing. Claims about what AI can do for records management are easy to make; evidence is harder. The profession should reward research that produces evidence, including evidence of where AI </w:t>
      </w:r>
      <w:r>
        <w:lastRenderedPageBreak/>
        <w:t>does not help, and should be cautious of claims that move from possibility to inevitability without passing through demonstration.</w:t>
      </w:r>
    </w:p>
    <w:p w14:paraId="0C83C058" w14:textId="4F52E668" w:rsidR="00774FB3" w:rsidRDefault="00CB6A94" w:rsidP="002E0E9F">
      <w:pPr>
        <w:spacing w:after="200" w:line="360" w:lineRule="auto"/>
        <w:jc w:val="both"/>
      </w:pPr>
      <w:r>
        <w:t xml:space="preserve"> </w:t>
      </w:r>
      <w:r>
        <w:t xml:space="preserve"> </w:t>
      </w:r>
    </w:p>
    <w:p w14:paraId="0C83C059" w14:textId="77777777" w:rsidR="00774FB3" w:rsidRDefault="00CB6A94" w:rsidP="00F304EF">
      <w:pPr>
        <w:pStyle w:val="Heading2"/>
        <w:spacing w:after="200" w:line="360" w:lineRule="auto"/>
        <w:jc w:val="both"/>
      </w:pPr>
      <w:r>
        <w:t>8. Conclusion</w:t>
      </w:r>
    </w:p>
    <w:p w14:paraId="0C83C05A" w14:textId="75D93DA9" w:rsidR="00774FB3" w:rsidRDefault="00CB6A94" w:rsidP="00F304EF">
      <w:pPr>
        <w:spacing w:after="120" w:line="360" w:lineRule="auto"/>
        <w:jc w:val="both"/>
      </w:pPr>
      <w:r>
        <w:t>South Africa's state-owned companies hold records that document the conduct of public life. Those records have enduring value. They are increasingly inaccessible, not because the records management profession has failed but because the digital environment has changed faster than the tools available to that profession. Artificial intelligence, applied within a socio-technical framework that retains professional authority, supports compliance with the NARSSA Act, PAIA, and POPIA, and respects the ethical obli</w:t>
      </w:r>
      <w:r>
        <w:t>gations of the discipline, offers a practical response. The accessibility crisis is real, the response is achievable, and the profession has the standing</w:t>
      </w:r>
      <w:r w:rsidR="00287266">
        <w:t>,</w:t>
      </w:r>
      <w:r>
        <w:t xml:space="preserve"> and, increasingly, the tools</w:t>
      </w:r>
      <w:r w:rsidR="00287266">
        <w:t>,</w:t>
      </w:r>
      <w:r>
        <w:t xml:space="preserve"> to act.</w:t>
      </w:r>
    </w:p>
    <w:p w14:paraId="0C83C05C" w14:textId="4E3B2E39" w:rsidR="00774FB3" w:rsidRDefault="00CB6A94" w:rsidP="00287266">
      <w:pPr>
        <w:spacing w:after="200" w:line="360" w:lineRule="auto"/>
        <w:jc w:val="both"/>
      </w:pPr>
      <w:r>
        <w:t xml:space="preserve"> </w:t>
      </w:r>
      <w:r>
        <w:t>The records of enduring value exist. The question is whether the institutions charged with their care will be able to see them. The argument of this paper is that AI, used carefully, can let them be seen.</w:t>
      </w:r>
    </w:p>
    <w:p w14:paraId="0C83C05D" w14:textId="77777777" w:rsidR="00774FB3" w:rsidRDefault="00CB6A94" w:rsidP="00F304EF">
      <w:pPr>
        <w:spacing w:after="200" w:line="360" w:lineRule="auto"/>
        <w:jc w:val="both"/>
      </w:pPr>
      <w:r>
        <w:t xml:space="preserve"> </w:t>
      </w:r>
    </w:p>
    <w:p w14:paraId="0C83C05F" w14:textId="77777777" w:rsidR="00774FB3" w:rsidRDefault="00CB6A94" w:rsidP="00F304EF">
      <w:pPr>
        <w:spacing w:after="200" w:line="360" w:lineRule="auto"/>
        <w:jc w:val="both"/>
      </w:pPr>
      <w:r>
        <w:t xml:space="preserve"> </w:t>
      </w:r>
    </w:p>
    <w:p w14:paraId="2BF545AE" w14:textId="77777777" w:rsidR="007C39AB" w:rsidRDefault="007C39AB" w:rsidP="00F304EF">
      <w:pPr>
        <w:spacing w:line="360" w:lineRule="auto"/>
        <w:rPr>
          <w:b/>
          <w:bCs/>
          <w:color w:val="000000"/>
          <w:sz w:val="36"/>
          <w:szCs w:val="36"/>
        </w:rPr>
      </w:pPr>
      <w:r>
        <w:br w:type="page"/>
      </w:r>
    </w:p>
    <w:p w14:paraId="0C83C060" w14:textId="5C6864F0" w:rsidR="00774FB3" w:rsidRDefault="00CB6A94" w:rsidP="00F304EF">
      <w:pPr>
        <w:pStyle w:val="Heading2"/>
        <w:spacing w:after="200" w:line="360" w:lineRule="auto"/>
        <w:jc w:val="both"/>
      </w:pPr>
      <w:r>
        <w:lastRenderedPageBreak/>
        <w:t>References</w:t>
      </w:r>
    </w:p>
    <w:p w14:paraId="0C83C061" w14:textId="77777777" w:rsidR="00774FB3" w:rsidRDefault="00CB6A94" w:rsidP="00F304EF">
      <w:pPr>
        <w:spacing w:after="120" w:line="360" w:lineRule="auto"/>
        <w:jc w:val="both"/>
      </w:pPr>
      <w:r>
        <w:t xml:space="preserve">Colavizza, G., Blanke, T., Jeurgens, C. and Noordegraaf, J. (2021) 'Archives and AI: an overview of current debates and future perspectives', </w:t>
      </w:r>
      <w:r>
        <w:rPr>
          <w:i/>
          <w:iCs/>
        </w:rPr>
        <w:t>Journal on Computing and Cultural Heritage</w:t>
      </w:r>
      <w:r>
        <w:t>, 15(1), pp. 1–15.</w:t>
      </w:r>
    </w:p>
    <w:p w14:paraId="0C83C063" w14:textId="6E444709" w:rsidR="00774FB3" w:rsidRDefault="00CB6A94" w:rsidP="000C4332">
      <w:pPr>
        <w:spacing w:after="200" w:line="360" w:lineRule="auto"/>
        <w:jc w:val="both"/>
      </w:pPr>
      <w:r>
        <w:t xml:space="preserve"> </w:t>
      </w:r>
      <w:r>
        <w:t xml:space="preserve">Dikotla, M.A. and Mokgolo, M.M. (2023) 'Nature and patterns of newspaper coverage of poor records management and its impact on the provision of government services in South Africa', </w:t>
      </w:r>
      <w:r>
        <w:rPr>
          <w:i/>
          <w:iCs/>
        </w:rPr>
        <w:t>Mousaion: South African Journal of Information Studies</w:t>
      </w:r>
      <w:r>
        <w:t>, 40(3).</w:t>
      </w:r>
    </w:p>
    <w:p w14:paraId="0C83C065" w14:textId="77A4775F" w:rsidR="00774FB3" w:rsidRDefault="00CB6A94" w:rsidP="000C4332">
      <w:pPr>
        <w:spacing w:after="200" w:line="360" w:lineRule="auto"/>
        <w:jc w:val="both"/>
      </w:pPr>
      <w:r>
        <w:t xml:space="preserve"> </w:t>
      </w:r>
      <w:r>
        <w:t xml:space="preserve">Kalusopa, T. and Mosweu, O. (2023) 'Electronic records management in the digital era: challenges and opportunities', </w:t>
      </w:r>
      <w:r>
        <w:rPr>
          <w:i/>
          <w:iCs/>
        </w:rPr>
        <w:t>ESARBICA Journal</w:t>
      </w:r>
      <w:r>
        <w:t>, 41(1), pp. 40–60.</w:t>
      </w:r>
    </w:p>
    <w:p w14:paraId="0C83C067" w14:textId="5B000695" w:rsidR="00774FB3" w:rsidRDefault="00CB6A94" w:rsidP="000C4332">
      <w:pPr>
        <w:spacing w:after="200" w:line="360" w:lineRule="auto"/>
        <w:jc w:val="both"/>
      </w:pPr>
      <w:r>
        <w:t xml:space="preserve"> </w:t>
      </w:r>
      <w:r>
        <w:t xml:space="preserve">Marutha, N.S. and Ngulube, P. (2012) 'Electronic records management in the public health sector of the Limpopo Province in South Africa', </w:t>
      </w:r>
      <w:r>
        <w:rPr>
          <w:i/>
          <w:iCs/>
        </w:rPr>
        <w:t>Journal of the South African Society of Archivists</w:t>
      </w:r>
      <w:r>
        <w:t>, 45, pp. 39–67.</w:t>
      </w:r>
    </w:p>
    <w:p w14:paraId="0C83C069" w14:textId="0A6615DF" w:rsidR="00774FB3" w:rsidRDefault="00CB6A94" w:rsidP="000C4332">
      <w:pPr>
        <w:spacing w:after="200" w:line="360" w:lineRule="auto"/>
        <w:jc w:val="both"/>
      </w:pPr>
      <w:r>
        <w:t xml:space="preserve"> </w:t>
      </w:r>
      <w:r>
        <w:t xml:space="preserve">Mittelstadt, B.D., Allo, P., Taddeo, M., Wachter, S. and Floridi, L. (2016) 'The ethics of algorithms: mapping the debate', </w:t>
      </w:r>
      <w:r>
        <w:rPr>
          <w:i/>
          <w:iCs/>
        </w:rPr>
        <w:t>Big Data &amp; Society</w:t>
      </w:r>
      <w:r>
        <w:t>, 3(2), pp. 1–21.</w:t>
      </w:r>
    </w:p>
    <w:p w14:paraId="0C83C06B" w14:textId="075FAA50" w:rsidR="00774FB3" w:rsidRDefault="00CB6A94" w:rsidP="000C4332">
      <w:pPr>
        <w:spacing w:after="200" w:line="360" w:lineRule="auto"/>
        <w:jc w:val="both"/>
      </w:pPr>
      <w:r>
        <w:t xml:space="preserve"> </w:t>
      </w:r>
      <w:r>
        <w:t xml:space="preserve">Modiba, M. (2022) 'Legislation used to apply artificial intelligence for the management of records at the Council for Scientific and Industrial Research in South Africa', </w:t>
      </w:r>
      <w:r>
        <w:rPr>
          <w:i/>
          <w:iCs/>
        </w:rPr>
        <w:t>African Journal of Library, Archives and Information Science</w:t>
      </w:r>
      <w:r>
        <w:t>, 32(1), pp. 21–35.</w:t>
      </w:r>
    </w:p>
    <w:p w14:paraId="0C83C06D" w14:textId="23B718A9" w:rsidR="00774FB3" w:rsidRDefault="00CB6A94" w:rsidP="000C4332">
      <w:pPr>
        <w:spacing w:after="200" w:line="360" w:lineRule="auto"/>
        <w:jc w:val="both"/>
      </w:pPr>
      <w:r>
        <w:t xml:space="preserve"> </w:t>
      </w:r>
      <w:r>
        <w:t xml:space="preserve">Modiba, M., Ngulube, P. and Marutha, N. (2023) 'Discharging records management activities using artificial intelligence at the Council for Scientific and Industrial Research, South Africa', </w:t>
      </w:r>
      <w:r>
        <w:rPr>
          <w:i/>
          <w:iCs/>
        </w:rPr>
        <w:t>African Journal of Library, Archives and Information Science</w:t>
      </w:r>
      <w:r>
        <w:t>, 33(1), pp. 39–52.</w:t>
      </w:r>
    </w:p>
    <w:p w14:paraId="0C83C06F" w14:textId="08D9D88E" w:rsidR="00774FB3" w:rsidRDefault="00CB6A94" w:rsidP="000C4332">
      <w:pPr>
        <w:spacing w:after="200" w:line="360" w:lineRule="auto"/>
        <w:jc w:val="both"/>
      </w:pPr>
      <w:r>
        <w:t xml:space="preserve"> </w:t>
      </w:r>
      <w:r>
        <w:t xml:space="preserve">Mojapelo, M. and Marutha, N. (2023) 'Framework to infuse data science in the archives and records management curriculum in South Africa', </w:t>
      </w:r>
      <w:r>
        <w:rPr>
          <w:i/>
          <w:iCs/>
        </w:rPr>
        <w:t>African Journal of Library, Archives and Information Science</w:t>
      </w:r>
      <w:r>
        <w:t>, 33(2), pp. 203–213.</w:t>
      </w:r>
    </w:p>
    <w:p w14:paraId="0C83C071" w14:textId="69730146" w:rsidR="00774FB3" w:rsidRDefault="00CB6A94" w:rsidP="000C4332">
      <w:pPr>
        <w:spacing w:after="200" w:line="360" w:lineRule="auto"/>
        <w:jc w:val="both"/>
      </w:pPr>
      <w:r>
        <w:t xml:space="preserve"> </w:t>
      </w:r>
      <w:r>
        <w:t xml:space="preserve">Mojapelo, M. and Ngoepe, M. (2021) 'Contribution of Auditor-General South Africa to records management in the public sector in South Africa', </w:t>
      </w:r>
      <w:r>
        <w:rPr>
          <w:i/>
          <w:iCs/>
        </w:rPr>
        <w:t>New Review of Information Networking</w:t>
      </w:r>
      <w:r>
        <w:t>, 26(1–2), pp. 33–49.</w:t>
      </w:r>
    </w:p>
    <w:p w14:paraId="0C83C072" w14:textId="77777777" w:rsidR="00774FB3" w:rsidRDefault="00CB6A94" w:rsidP="00F304EF">
      <w:pPr>
        <w:spacing w:after="200" w:line="360" w:lineRule="auto"/>
        <w:jc w:val="both"/>
      </w:pPr>
      <w:r>
        <w:t xml:space="preserve"> </w:t>
      </w:r>
    </w:p>
    <w:p w14:paraId="0C83C073" w14:textId="77777777" w:rsidR="00774FB3" w:rsidRDefault="00CB6A94" w:rsidP="00F304EF">
      <w:pPr>
        <w:spacing w:after="120" w:line="360" w:lineRule="auto"/>
        <w:jc w:val="both"/>
      </w:pPr>
      <w:r>
        <w:lastRenderedPageBreak/>
        <w:t xml:space="preserve">Mosweu, T., Luthuli, L. and Mosweu, O. (2019) 'Implications of cloud-computing services in records management in Africa: Achilles heels of the digital era?', </w:t>
      </w:r>
      <w:r>
        <w:rPr>
          <w:i/>
          <w:iCs/>
        </w:rPr>
        <w:t>South African Journal of Information Management</w:t>
      </w:r>
      <w:r>
        <w:t>, 21(1), a1069.</w:t>
      </w:r>
    </w:p>
    <w:p w14:paraId="0C83C075" w14:textId="1A996545" w:rsidR="00774FB3" w:rsidRDefault="00CB6A94" w:rsidP="000C4332">
      <w:pPr>
        <w:spacing w:after="200" w:line="360" w:lineRule="auto"/>
        <w:jc w:val="both"/>
      </w:pPr>
      <w:r>
        <w:t xml:space="preserve"> </w:t>
      </w:r>
      <w:r>
        <w:t xml:space="preserve">Ngoepe, M. (2020) 'Archives and recordkeeping in South Africa: moving towards a twenty-first century system', </w:t>
      </w:r>
      <w:r>
        <w:rPr>
          <w:i/>
          <w:iCs/>
        </w:rPr>
        <w:t>Archives and Records</w:t>
      </w:r>
      <w:r>
        <w:t>, 41(3), pp. 308–325.</w:t>
      </w:r>
    </w:p>
    <w:p w14:paraId="0C83C077" w14:textId="7C8A47EE" w:rsidR="00774FB3" w:rsidRDefault="00CB6A94" w:rsidP="000C4332">
      <w:pPr>
        <w:spacing w:after="200" w:line="360" w:lineRule="auto"/>
        <w:jc w:val="both"/>
      </w:pPr>
      <w:r>
        <w:t xml:space="preserve"> </w:t>
      </w:r>
      <w:r>
        <w:t xml:space="preserve">Ngoepe, M. and Saurombe, A. (2016) 'Provisions for managing and preserving records created in networked environments in the archival legislative frameworks of selected member states of the Southern African Development Community', </w:t>
      </w:r>
      <w:r>
        <w:rPr>
          <w:i/>
          <w:iCs/>
        </w:rPr>
        <w:t>Archives and Manuscripts</w:t>
      </w:r>
      <w:r>
        <w:t>, 44(1), pp. 24–41.</w:t>
      </w:r>
    </w:p>
    <w:p w14:paraId="0C83C079" w14:textId="668D7FC7" w:rsidR="00774FB3" w:rsidRDefault="00CB6A94" w:rsidP="000C4332">
      <w:pPr>
        <w:spacing w:after="200" w:line="360" w:lineRule="auto"/>
        <w:jc w:val="both"/>
      </w:pPr>
      <w:r>
        <w:t xml:space="preserve"> </w:t>
      </w:r>
      <w:r>
        <w:t xml:space="preserve">Republic of South Africa (1996) </w:t>
      </w:r>
      <w:r>
        <w:rPr>
          <w:i/>
          <w:iCs/>
        </w:rPr>
        <w:t>National Archives and Records Service of South Africa Act, Act 43 of 1996</w:t>
      </w:r>
      <w:r>
        <w:t>. Pretoria: Government Printer.</w:t>
      </w:r>
    </w:p>
    <w:p w14:paraId="0C83C07B" w14:textId="6524E45E" w:rsidR="00774FB3" w:rsidRDefault="00CB6A94" w:rsidP="000C4332">
      <w:pPr>
        <w:spacing w:after="200" w:line="360" w:lineRule="auto"/>
        <w:jc w:val="both"/>
      </w:pPr>
      <w:r>
        <w:t xml:space="preserve"> </w:t>
      </w:r>
      <w:r>
        <w:t xml:space="preserve">Republic of South Africa (2000) </w:t>
      </w:r>
      <w:r>
        <w:rPr>
          <w:i/>
          <w:iCs/>
        </w:rPr>
        <w:t>Promotion of Access to Information Act, Act 2 of 2000</w:t>
      </w:r>
      <w:r>
        <w:t>. Pretoria: Government Printer.</w:t>
      </w:r>
    </w:p>
    <w:p w14:paraId="0C83C07D" w14:textId="4EB60564" w:rsidR="00774FB3" w:rsidRDefault="00CB6A94" w:rsidP="000C4332">
      <w:pPr>
        <w:spacing w:after="200" w:line="360" w:lineRule="auto"/>
        <w:jc w:val="both"/>
      </w:pPr>
      <w:r>
        <w:t xml:space="preserve"> </w:t>
      </w:r>
      <w:r>
        <w:t xml:space="preserve">Republic of South Africa (2013) </w:t>
      </w:r>
      <w:r>
        <w:rPr>
          <w:i/>
          <w:iCs/>
        </w:rPr>
        <w:t>Protection of Personal Information Act, Act 4 of 2013</w:t>
      </w:r>
      <w:r>
        <w:t>. Pretoria: Government Printer.</w:t>
      </w:r>
    </w:p>
    <w:p w14:paraId="0C83C07E" w14:textId="77777777" w:rsidR="00774FB3" w:rsidRDefault="00CB6A94" w:rsidP="00F304EF">
      <w:pPr>
        <w:spacing w:after="200" w:line="360" w:lineRule="auto"/>
        <w:jc w:val="both"/>
      </w:pPr>
      <w:r>
        <w:t xml:space="preserve"> </w:t>
      </w:r>
    </w:p>
    <w:p w14:paraId="0C83C080" w14:textId="77777777" w:rsidR="00774FB3" w:rsidRDefault="00CB6A94" w:rsidP="00F304EF">
      <w:pPr>
        <w:spacing w:after="200" w:line="360" w:lineRule="auto"/>
        <w:jc w:val="both"/>
      </w:pPr>
      <w:r>
        <w:t xml:space="preserve"> </w:t>
      </w:r>
    </w:p>
    <w:p w14:paraId="0C83C081" w14:textId="77777777" w:rsidR="00774FB3" w:rsidRDefault="00CB6A94" w:rsidP="00F304EF">
      <w:pPr>
        <w:spacing w:after="120" w:line="360" w:lineRule="auto"/>
        <w:jc w:val="both"/>
      </w:pPr>
      <w:r>
        <w:rPr>
          <w:i/>
          <w:iCs/>
        </w:rPr>
        <w:t>Word count: approximately 5,400 words.</w:t>
      </w:r>
    </w:p>
    <w:sectPr w:rsidR="00774FB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471C"/>
    <w:multiLevelType w:val="hybridMultilevel"/>
    <w:tmpl w:val="7C02E364"/>
    <w:lvl w:ilvl="0" w:tplc="2DAA2C86">
      <w:start w:val="1"/>
      <w:numFmt w:val="bullet"/>
      <w:suff w:val="space"/>
      <w:lvlText w:val="●"/>
      <w:lvlJc w:val="left"/>
      <w:pPr>
        <w:ind w:left="240" w:hanging="180"/>
      </w:pPr>
    </w:lvl>
    <w:lvl w:ilvl="1" w:tplc="592665A4">
      <w:start w:val="1"/>
      <w:numFmt w:val="bullet"/>
      <w:suff w:val="space"/>
      <w:lvlText w:val="○"/>
      <w:lvlJc w:val="left"/>
      <w:pPr>
        <w:ind w:left="660" w:hanging="180"/>
      </w:pPr>
    </w:lvl>
    <w:lvl w:ilvl="2" w:tplc="C7E4E840">
      <w:start w:val="1"/>
      <w:numFmt w:val="bullet"/>
      <w:suff w:val="space"/>
      <w:lvlText w:val="■"/>
      <w:lvlJc w:val="left"/>
      <w:pPr>
        <w:ind w:left="1080" w:hanging="180"/>
      </w:pPr>
    </w:lvl>
    <w:lvl w:ilvl="3" w:tplc="6B34418C">
      <w:start w:val="1"/>
      <w:numFmt w:val="bullet"/>
      <w:suff w:val="space"/>
      <w:lvlText w:val="●"/>
      <w:lvlJc w:val="left"/>
      <w:pPr>
        <w:ind w:left="1500" w:hanging="180"/>
      </w:pPr>
    </w:lvl>
    <w:lvl w:ilvl="4" w:tplc="20EA2020">
      <w:start w:val="1"/>
      <w:numFmt w:val="bullet"/>
      <w:suff w:val="space"/>
      <w:lvlText w:val="○"/>
      <w:lvlJc w:val="left"/>
      <w:pPr>
        <w:ind w:left="1920" w:hanging="180"/>
      </w:pPr>
    </w:lvl>
    <w:lvl w:ilvl="5" w:tplc="E1EEF24E">
      <w:start w:val="1"/>
      <w:numFmt w:val="bullet"/>
      <w:suff w:val="space"/>
      <w:lvlText w:val="■"/>
      <w:lvlJc w:val="left"/>
      <w:pPr>
        <w:ind w:left="2340" w:hanging="180"/>
      </w:pPr>
    </w:lvl>
    <w:lvl w:ilvl="6" w:tplc="3828ABFC">
      <w:start w:val="1"/>
      <w:numFmt w:val="bullet"/>
      <w:suff w:val="space"/>
      <w:lvlText w:val="●"/>
      <w:lvlJc w:val="left"/>
      <w:pPr>
        <w:ind w:left="2760" w:hanging="180"/>
      </w:pPr>
    </w:lvl>
    <w:lvl w:ilvl="7" w:tplc="6C92B74E">
      <w:start w:val="1"/>
      <w:numFmt w:val="bullet"/>
      <w:suff w:val="space"/>
      <w:lvlText w:val="○"/>
      <w:lvlJc w:val="left"/>
      <w:pPr>
        <w:ind w:left="3180" w:hanging="180"/>
      </w:pPr>
    </w:lvl>
    <w:lvl w:ilvl="8" w:tplc="C8749184">
      <w:start w:val="1"/>
      <w:numFmt w:val="bullet"/>
      <w:suff w:val="space"/>
      <w:lvlText w:val="■"/>
      <w:lvlJc w:val="left"/>
      <w:pPr>
        <w:ind w:left="3600" w:hanging="180"/>
      </w:pPr>
    </w:lvl>
  </w:abstractNum>
  <w:abstractNum w:abstractNumId="1" w15:restartNumberingAfterBreak="0">
    <w:nsid w:val="35617609"/>
    <w:multiLevelType w:val="hybridMultilevel"/>
    <w:tmpl w:val="DA3CEA5E"/>
    <w:lvl w:ilvl="0" w:tplc="A45E3C40">
      <w:start w:val="1"/>
      <w:numFmt w:val="bullet"/>
      <w:lvlText w:val="●"/>
      <w:lvlJc w:val="left"/>
      <w:pPr>
        <w:ind w:left="720" w:hanging="360"/>
      </w:pPr>
    </w:lvl>
    <w:lvl w:ilvl="1" w:tplc="DE2CD380">
      <w:start w:val="1"/>
      <w:numFmt w:val="bullet"/>
      <w:lvlText w:val="○"/>
      <w:lvlJc w:val="left"/>
      <w:pPr>
        <w:ind w:left="1440" w:hanging="360"/>
      </w:pPr>
    </w:lvl>
    <w:lvl w:ilvl="2" w:tplc="6F3A8A0C">
      <w:start w:val="1"/>
      <w:numFmt w:val="bullet"/>
      <w:lvlText w:val="■"/>
      <w:lvlJc w:val="left"/>
      <w:pPr>
        <w:ind w:left="2160" w:hanging="360"/>
      </w:pPr>
    </w:lvl>
    <w:lvl w:ilvl="3" w:tplc="5824F300">
      <w:start w:val="1"/>
      <w:numFmt w:val="bullet"/>
      <w:lvlText w:val="●"/>
      <w:lvlJc w:val="left"/>
      <w:pPr>
        <w:ind w:left="2880" w:hanging="360"/>
      </w:pPr>
    </w:lvl>
    <w:lvl w:ilvl="4" w:tplc="F008249E">
      <w:start w:val="1"/>
      <w:numFmt w:val="bullet"/>
      <w:lvlText w:val="○"/>
      <w:lvlJc w:val="left"/>
      <w:pPr>
        <w:ind w:left="3600" w:hanging="360"/>
      </w:pPr>
    </w:lvl>
    <w:lvl w:ilvl="5" w:tplc="25F22702">
      <w:start w:val="1"/>
      <w:numFmt w:val="bullet"/>
      <w:lvlText w:val="■"/>
      <w:lvlJc w:val="left"/>
      <w:pPr>
        <w:ind w:left="4320" w:hanging="360"/>
      </w:pPr>
    </w:lvl>
    <w:lvl w:ilvl="6" w:tplc="D1F68740">
      <w:start w:val="1"/>
      <w:numFmt w:val="bullet"/>
      <w:lvlText w:val="●"/>
      <w:lvlJc w:val="left"/>
      <w:pPr>
        <w:ind w:left="5040" w:hanging="360"/>
      </w:pPr>
    </w:lvl>
    <w:lvl w:ilvl="7" w:tplc="19C0558C">
      <w:start w:val="1"/>
      <w:numFmt w:val="bullet"/>
      <w:lvlText w:val="●"/>
      <w:lvlJc w:val="left"/>
      <w:pPr>
        <w:ind w:left="5760" w:hanging="360"/>
      </w:pPr>
    </w:lvl>
    <w:lvl w:ilvl="8" w:tplc="39247124">
      <w:start w:val="1"/>
      <w:numFmt w:val="bullet"/>
      <w:lvlText w:val="●"/>
      <w:lvlJc w:val="left"/>
      <w:pPr>
        <w:ind w:left="6480" w:hanging="360"/>
      </w:pPr>
    </w:lvl>
  </w:abstractNum>
  <w:num w:numId="1" w16cid:durableId="2995040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FB3"/>
    <w:rsid w:val="00063375"/>
    <w:rsid w:val="000C4332"/>
    <w:rsid w:val="00100062"/>
    <w:rsid w:val="0012336A"/>
    <w:rsid w:val="001B6700"/>
    <w:rsid w:val="00225FCE"/>
    <w:rsid w:val="00287266"/>
    <w:rsid w:val="002A4BEA"/>
    <w:rsid w:val="002E0E9F"/>
    <w:rsid w:val="003B3A44"/>
    <w:rsid w:val="0046306C"/>
    <w:rsid w:val="00497443"/>
    <w:rsid w:val="004A7EBC"/>
    <w:rsid w:val="005A2B40"/>
    <w:rsid w:val="005A4704"/>
    <w:rsid w:val="005F1E73"/>
    <w:rsid w:val="006F5E6F"/>
    <w:rsid w:val="00750667"/>
    <w:rsid w:val="00774FB3"/>
    <w:rsid w:val="007C39AB"/>
    <w:rsid w:val="008B18AB"/>
    <w:rsid w:val="00933474"/>
    <w:rsid w:val="009867EE"/>
    <w:rsid w:val="00B933D1"/>
    <w:rsid w:val="00BC40DF"/>
    <w:rsid w:val="00C2781A"/>
    <w:rsid w:val="00C5597B"/>
    <w:rsid w:val="00C57936"/>
    <w:rsid w:val="00CB6A94"/>
    <w:rsid w:val="00DB6B90"/>
    <w:rsid w:val="00DF46C1"/>
    <w:rsid w:val="00E12E84"/>
    <w:rsid w:val="00F304EF"/>
    <w:rsid w:val="00FF0B60"/>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3BFCA"/>
  <w15:docId w15:val="{323D8EF3-C34F-464A-B590-981D83C2B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15</Pages>
  <Words>4459</Words>
  <Characters>25422</Characters>
  <Application>Microsoft Office Word</Application>
  <DocSecurity>0</DocSecurity>
  <Lines>211</Lines>
  <Paragraphs>59</Paragraphs>
  <ScaleCrop>false</ScaleCrop>
  <Company/>
  <LinksUpToDate>false</LinksUpToDate>
  <CharactersWithSpaces>29822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Johan Pieterse</cp:lastModifiedBy>
  <cp:revision>32</cp:revision>
  <dcterms:created xsi:type="dcterms:W3CDTF">2026-05-20T09:04:00Z</dcterms:created>
  <dcterms:modified xsi:type="dcterms:W3CDTF">2026-05-20T10:14:00Z</dcterms:modified>
</cp:coreProperties>
</file>