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31" w:name="iiif-in-heratio---podcast-script"/>
    <w:p>
      <w:pPr>
        <w:pStyle w:val="Heading1"/>
      </w:pPr>
      <w:r>
        <w:t xml:space="preserve">IIIF in Heratio - Podcast Script</w:t>
      </w:r>
    </w:p>
    <w:p>
      <w:pPr>
        <w:pStyle w:val="FirstParagraph"/>
      </w:pPr>
      <w:r>
        <w:rPr>
          <w:bCs/>
          <w:b/>
        </w:rPr>
        <w:t xml:space="preserve">Format:</w:t>
      </w:r>
      <w:r>
        <w:t xml:space="preserve"> </w:t>
      </w:r>
      <w:r>
        <w:t xml:space="preserve">Interview + live demo</w:t>
      </w:r>
      <w:r>
        <w:t xml:space="preserve"> </w:t>
      </w:r>
      <w:r>
        <w:rPr>
          <w:bCs/>
          <w:b/>
        </w:rPr>
        <w:t xml:space="preserve">Runtime target:</w:t>
      </w:r>
      <w:r>
        <w:t xml:space="preserve"> </w:t>
      </w:r>
      <w:r>
        <w:t xml:space="preserve">8:00</w:t>
      </w:r>
      <w:r>
        <w:t xml:space="preserve"> </w:t>
      </w:r>
      <w:r>
        <w:rPr>
          <w:bCs/>
          <w:b/>
        </w:rPr>
        <w:t xml:space="preserve">Voices:</w:t>
      </w:r>
      <w:r>
        <w:t xml:space="preserve"> </w:t>
      </w:r>
      <w:r>
        <w:t xml:space="preserve">HOST (co-host), JOHAN</w:t>
      </w:r>
      <w:r>
        <w:t xml:space="preserve"> </w:t>
      </w:r>
      <w:r>
        <w:rPr>
          <w:bCs/>
          <w:b/>
        </w:rPr>
        <w:t xml:space="preserve">Live record on screen:</w:t>
      </w:r>
      <w:r>
        <w:t xml:space="preserve"> </w:t>
      </w:r>
      <w:hyperlink r:id="rId20">
        <w:r>
          <w:rPr>
            <w:rStyle w:val="Hyperlink"/>
          </w:rPr>
          <w:t xml:space="preserve">https://heratio.theahg.co.za/flowers-in-the-garden</w:t>
        </w:r>
      </w:hyperlink>
      <w:r>
        <w:t xml:space="preserve"> </w:t>
      </w:r>
      <w:r>
        <w:t xml:space="preserve">(the 1591 de Bry engraving)</w:t>
      </w:r>
    </w:p>
    <w:p>
      <w:pPr>
        <w:pStyle w:val="BodyText"/>
      </w:pPr>
      <w:r>
        <w:rPr>
          <w:bCs/>
          <w:b/>
        </w:rPr>
        <w:t xml:space="preserve">Production note:</w:t>
      </w:r>
      <w:r>
        <w:t xml:space="preserve"> </w:t>
      </w:r>
      <w:r>
        <w:t xml:space="preserve">The only line you cannot fully control is the external copy in Demo 2 (Segment 4). Test that manifest live before you record. If it will not load cleanly, use the fallback written into that segment - it keeps the interoperability point without the external dependency.</w:t>
      </w:r>
    </w:p>
    <w:p>
      <w:r>
        <w:pict>
          <v:rect style="width:0;height:1.5pt" o:hralign="center" o:hrstd="t" o:hr="t"/>
        </w:pict>
      </w:r>
    </w:p>
    <w:bookmarkStart w:id="21" w:name="segment-1---cold-open-000-040"/>
    <w:p>
      <w:pPr>
        <w:pStyle w:val="Heading2"/>
      </w:pPr>
      <w:r>
        <w:t xml:space="preserve">Segment 1 - Cold Open (0:00-0:40)</w:t>
      </w:r>
    </w:p>
    <w:p>
      <w:pPr>
        <w:pStyle w:val="FirstParagraph"/>
      </w:pPr>
      <w:r>
        <w:rPr>
          <w:iCs/>
          <w:i/>
        </w:rPr>
        <w:t xml:space="preserve">[SCREEN: off / hosts on camera]</w:t>
      </w:r>
    </w:p>
    <w:p>
      <w:pPr>
        <w:pStyle w:val="BodyText"/>
      </w:pPr>
      <w:r>
        <w:rPr>
          <w:bCs/>
          <w:b/>
        </w:rPr>
        <w:t xml:space="preserve">HOST:</w:t>
      </w:r>
      <w:r>
        <w:t xml:space="preserve"> </w:t>
      </w:r>
      <w:r>
        <w:t xml:space="preserve">Picture this. A researcher in Tokyo wants to study a fragile 400-year-old engraving. The only copy you care about is held in an archive in Cape Town. Twenty years ago, what does she do?</w:t>
      </w:r>
    </w:p>
    <w:p>
      <w:pPr>
        <w:pStyle w:val="BodyText"/>
      </w:pPr>
      <w:r>
        <w:rPr>
          <w:bCs/>
          <w:b/>
        </w:rPr>
        <w:t xml:space="preserve">JOHAN:</w:t>
      </w:r>
      <w:r>
        <w:t xml:space="preserve"> </w:t>
      </w:r>
      <w:r>
        <w:t xml:space="preserve">Twenty years ago? She books a flight, she requests access, she waits weeks, and eventually she gets twenty minutes with white gloves and a supervisor watching.</w:t>
      </w:r>
    </w:p>
    <w:p>
      <w:pPr>
        <w:pStyle w:val="BodyText"/>
      </w:pPr>
      <w:r>
        <w:rPr>
          <w:bCs/>
          <w:b/>
        </w:rPr>
        <w:t xml:space="preserve">HOST:</w:t>
      </w:r>
      <w:r>
        <w:t xml:space="preserve"> </w:t>
      </w:r>
      <w:r>
        <w:t xml:space="preserve">And today?</w:t>
      </w:r>
    </w:p>
    <w:p>
      <w:pPr>
        <w:pStyle w:val="BodyText"/>
      </w:pPr>
      <w:r>
        <w:rPr>
          <w:bCs/>
          <w:b/>
        </w:rPr>
        <w:t xml:space="preserve">JOHAN:</w:t>
      </w:r>
      <w:r>
        <w:t xml:space="preserve"> </w:t>
      </w:r>
      <w:r>
        <w:t xml:space="preserve">Today she opens a browser tab. And the reason that works comes down to a standard that almost nobody outside our world has heard of. Give me eight minutes and I'll show you why it might be the most important thing to happen to archives this century.</w:t>
      </w:r>
    </w:p>
    <w:p>
      <w:r>
        <w:pict>
          <v:rect style="width:0;height:1.5pt" o:hralign="center" o:hrstd="t" o:hr="t"/>
        </w:pict>
      </w:r>
    </w:p>
    <w:bookmarkEnd w:id="21"/>
    <w:bookmarkStart w:id="22" w:name="segment-2---what-is-iiif-040-140"/>
    <w:p>
      <w:pPr>
        <w:pStyle w:val="Heading2"/>
      </w:pPr>
      <w:r>
        <w:t xml:space="preserve">Segment 2 - What Is IIIF (0:40-1:40)</w:t>
      </w:r>
    </w:p>
    <w:p>
      <w:pPr>
        <w:pStyle w:val="FirstParagraph"/>
      </w:pPr>
      <w:r>
        <w:rPr>
          <w:iCs/>
          <w:i/>
        </w:rPr>
        <w:t xml:space="preserve">[SCREEN: off / hosts on camera]</w:t>
      </w:r>
    </w:p>
    <w:p>
      <w:pPr>
        <w:pStyle w:val="BodyText"/>
      </w:pPr>
      <w:r>
        <w:rPr>
          <w:bCs/>
          <w:b/>
        </w:rPr>
        <w:t xml:space="preserve">HOST:</w:t>
      </w:r>
      <w:r>
        <w:t xml:space="preserve"> </w:t>
      </w:r>
      <w:r>
        <w:t xml:space="preserve">So name it. What is this standard?</w:t>
      </w:r>
    </w:p>
    <w:p>
      <w:pPr>
        <w:pStyle w:val="BodyText"/>
      </w:pPr>
      <w:r>
        <w:rPr>
          <w:bCs/>
          <w:b/>
        </w:rPr>
        <w:t xml:space="preserve">JOHAN:</w:t>
      </w:r>
      <w:r>
        <w:t xml:space="preserve"> </w:t>
      </w:r>
      <w:r>
        <w:t xml:space="preserve">It's called IIIF. Triple-eye-eff. It stands for the International Image Interoperability Framework, but forget the words. Here's the idea. Think of shipping containers. Before the shipping container, every port loaded cargo its own way, and nothing moved efficiently. Someone agreed on one box size, and suddenly the whole world's freight could move on the same ships, cranes, and trucks.</w:t>
      </w:r>
    </w:p>
    <w:p>
      <w:pPr>
        <w:pStyle w:val="BodyText"/>
      </w:pPr>
      <w:r>
        <w:rPr>
          <w:bCs/>
          <w:b/>
        </w:rPr>
        <w:t xml:space="preserve">HOST:</w:t>
      </w:r>
      <w:r>
        <w:t xml:space="preserve"> </w:t>
      </w:r>
      <w:r>
        <w:t xml:space="preserve">And IIIF is the container for images.</w:t>
      </w:r>
    </w:p>
    <w:p>
      <w:pPr>
        <w:pStyle w:val="BodyText"/>
      </w:pPr>
      <w:r>
        <w:rPr>
          <w:bCs/>
          <w:b/>
        </w:rPr>
        <w:t xml:space="preserve">JOHAN:</w:t>
      </w:r>
      <w:r>
        <w:t xml:space="preserve"> </w:t>
      </w:r>
      <w:r>
        <w:t xml:space="preserve">For cultural heritage images, exactly. The Bodleian, the British Library, France's national library, Stanford. They all agreed on one way to serve a digitised object. Even the Vatican serves its manuscripts this way now. Which means an image from any of them opens in any viewer, anywhere, with no special integration.</w:t>
      </w:r>
    </w:p>
    <w:p>
      <w:pPr>
        <w:pStyle w:val="BodyText"/>
      </w:pPr>
      <w:r>
        <w:rPr>
          <w:bCs/>
          <w:b/>
        </w:rPr>
        <w:t xml:space="preserve">HOST:</w:t>
      </w:r>
      <w:r>
        <w:t xml:space="preserve"> </w:t>
      </w:r>
      <w:r>
        <w:t xml:space="preserve">Versus what we do now, which is what? Email a JPEG?</w:t>
      </w:r>
    </w:p>
    <w:p>
      <w:pPr>
        <w:pStyle w:val="BodyText"/>
      </w:pPr>
      <w:r>
        <w:rPr>
          <w:bCs/>
          <w:b/>
        </w:rPr>
        <w:t xml:space="preserve">JOHAN:</w:t>
      </w:r>
      <w:r>
        <w:t xml:space="preserve"> </w:t>
      </w:r>
      <w:r>
        <w:t xml:space="preserve">Email a JPEG, or bury a low-res scan in a PDF. Both trap the object. IIIF sets it free. Let me show you what free actually looks like.</w:t>
      </w:r>
    </w:p>
    <w:p>
      <w:r>
        <w:pict>
          <v:rect style="width:0;height:1.5pt" o:hralign="center" o:hrstd="t" o:hr="t"/>
        </w:pict>
      </w:r>
    </w:p>
    <w:bookmarkEnd w:id="22"/>
    <w:bookmarkStart w:id="23" w:name="segment-3---demo-1-deep-zoom-140-330"/>
    <w:p>
      <w:pPr>
        <w:pStyle w:val="Heading2"/>
      </w:pPr>
      <w:r>
        <w:t xml:space="preserve">Segment 3 - Demo 1: Deep Zoom (1:40-3:30)</w:t>
      </w:r>
    </w:p>
    <w:p>
      <w:pPr>
        <w:pStyle w:val="FirstParagraph"/>
      </w:pPr>
      <w:r>
        <w:rPr>
          <w:iCs/>
          <w:i/>
        </w:rPr>
        <w:t xml:space="preserve">[SCREEN ON: navigate to /flowers-in-the-garden]</w:t>
      </w:r>
      <w:r>
        <w:t xml:space="preserve"> </w:t>
      </w:r>
      <w:r>
        <w:rPr>
          <w:iCs/>
          <w:i/>
        </w:rPr>
        <w:t xml:space="preserve">[CLICK: open the record, then open the IIIF viewer. Full engraving fills the frame.]</w:t>
      </w:r>
    </w:p>
    <w:p>
      <w:pPr>
        <w:pStyle w:val="BodyText"/>
      </w:pPr>
      <w:r>
        <w:rPr>
          <w:bCs/>
          <w:b/>
        </w:rPr>
        <w:t xml:space="preserve">JOHAN:</w:t>
      </w:r>
      <w:r>
        <w:t xml:space="preserve"> </w:t>
      </w:r>
      <w:r>
        <w:t xml:space="preserve">This is a 1591 engraving. Theodor de Bry made it, after drawings by an artist who actually travelled to Florida. It shows the Timucua people, a chief named Saturiwa, preparing for an expedition. It is dense. Dozens of figures, weapons, foliage, all hand-cut into a copper plate.</w:t>
      </w:r>
    </w:p>
    <w:p>
      <w:pPr>
        <w:pStyle w:val="BodyText"/>
      </w:pPr>
      <w:r>
        <w:rPr>
          <w:bCs/>
          <w:b/>
        </w:rPr>
        <w:t xml:space="preserve">HOST:</w:t>
      </w:r>
      <w:r>
        <w:t xml:space="preserve"> </w:t>
      </w:r>
      <w:r>
        <w:t xml:space="preserve">And on screen it just looks like an old print.</w:t>
      </w:r>
    </w:p>
    <w:p>
      <w:pPr>
        <w:pStyle w:val="BodyText"/>
      </w:pPr>
      <w:r>
        <w:rPr>
          <w:bCs/>
          <w:b/>
        </w:rPr>
        <w:t xml:space="preserve">JOHAN:</w:t>
      </w:r>
      <w:r>
        <w:t xml:space="preserve"> </w:t>
      </w:r>
      <w:r>
        <w:t xml:space="preserve">Right now, yes. Watch this.</w:t>
      </w:r>
    </w:p>
    <w:p>
      <w:pPr>
        <w:pStyle w:val="BodyText"/>
      </w:pPr>
      <w:r>
        <w:rPr>
          <w:iCs/>
          <w:i/>
        </w:rPr>
        <w:t xml:space="preserve">[CLICK: zoom in once, on the central group.]</w:t>
      </w:r>
      <w:r>
        <w:t xml:space="preserve"> </w:t>
      </w:r>
      <w:r>
        <w:rPr>
          <w:iCs/>
          <w:i/>
        </w:rPr>
        <w:t xml:space="preserve">[CLICK: zoom again, onto a single figure's face.]</w:t>
      </w:r>
      <w:r>
        <w:t xml:space="preserve"> </w:t>
      </w:r>
      <w:r>
        <w:rPr>
          <w:iCs/>
          <w:i/>
        </w:rPr>
        <w:t xml:space="preserve">[CLICK: zoom a third time, into the cross-hatching / an individual tool or weapon.]</w:t>
      </w:r>
    </w:p>
    <w:p>
      <w:pPr>
        <w:pStyle w:val="BodyText"/>
      </w:pPr>
      <w:r>
        <w:rPr>
          <w:bCs/>
          <w:b/>
        </w:rPr>
        <w:t xml:space="preserve">JOHAN:</w:t>
      </w:r>
      <w:r>
        <w:t xml:space="preserve"> </w:t>
      </w:r>
      <w:r>
        <w:t xml:space="preserve">Look at the hatching. Every one of those lines is an individual cut the engraver made by hand, 434 years ago. You are seeing detail that a person standing in front of the original print, behind glass, physically cannot see.</w:t>
      </w:r>
    </w:p>
    <w:p>
      <w:pPr>
        <w:pStyle w:val="BodyText"/>
      </w:pPr>
      <w:r>
        <w:rPr>
          <w:bCs/>
          <w:b/>
        </w:rPr>
        <w:t xml:space="preserve">HOST:</w:t>
      </w:r>
      <w:r>
        <w:t xml:space="preserve"> </w:t>
      </w:r>
      <w:r>
        <w:t xml:space="preserve">And what did that cost me to load? That must be an enormous file.</w:t>
      </w:r>
    </w:p>
    <w:p>
      <w:pPr>
        <w:pStyle w:val="BodyText"/>
      </w:pPr>
      <w:r>
        <w:rPr>
          <w:bCs/>
          <w:b/>
        </w:rPr>
        <w:t xml:space="preserve">JOHAN:</w:t>
      </w:r>
      <w:r>
        <w:t xml:space="preserve"> </w:t>
      </w:r>
      <w:r>
        <w:t xml:space="preserve">That's the clever part. Nothing loaded the whole image. The viewer only ever requested the little tiles you're actually looking at, at the resolution you're looking at them. A curator on a phone, on a slow connection, gets to that exact same detail as a scholar on a fibre line in a research library.</w:t>
      </w:r>
    </w:p>
    <w:p>
      <w:pPr>
        <w:pStyle w:val="BodyText"/>
      </w:pPr>
      <w:r>
        <w:rPr>
          <w:bCs/>
          <w:b/>
        </w:rPr>
        <w:t xml:space="preserve">HOST:</w:t>
      </w:r>
      <w:r>
        <w:t xml:space="preserve"> </w:t>
      </w:r>
      <w:r>
        <w:t xml:space="preserve">So the fragile original never gets touched, and everyone gets the best possible view.</w:t>
      </w:r>
    </w:p>
    <w:p>
      <w:pPr>
        <w:pStyle w:val="BodyText"/>
      </w:pPr>
      <w:r>
        <w:rPr>
          <w:bCs/>
          <w:b/>
        </w:rPr>
        <w:t xml:space="preserve">JOHAN:</w:t>
      </w:r>
      <w:r>
        <w:t xml:space="preserve"> </w:t>
      </w:r>
      <w:r>
        <w:t xml:space="preserve">The original stays in the dark, in the box, protected. The whole world gets the front-row seat.</w:t>
      </w:r>
    </w:p>
    <w:p>
      <w:r>
        <w:pict>
          <v:rect style="width:0;height:1.5pt" o:hralign="center" o:hrstd="t" o:hr="t"/>
        </w:pict>
      </w:r>
    </w:p>
    <w:bookmarkEnd w:id="23"/>
    <w:bookmarkStart w:id="25" w:name="segment-4---demo-2-side-by-side-330-515"/>
    <w:p>
      <w:pPr>
        <w:pStyle w:val="Heading2"/>
      </w:pPr>
      <w:r>
        <w:t xml:space="preserve">Segment 4 - Demo 2: Side by Side (3:30-5:15)</w:t>
      </w:r>
    </w:p>
    <w:p>
      <w:pPr>
        <w:pStyle w:val="FirstParagraph"/>
      </w:pPr>
      <w:r>
        <w:rPr>
          <w:iCs/>
          <w:i/>
        </w:rPr>
        <w:t xml:space="preserve">[SCREEN: open Mirador, two-pane / comparison view]</w:t>
      </w:r>
      <w:r>
        <w:t xml:space="preserve"> </w:t>
      </w:r>
      <w:r>
        <w:rPr>
          <w:iCs/>
          <w:i/>
        </w:rPr>
        <w:t xml:space="preserve">[CLICK: left pane = our de Bry (this record). Right pane = add IIIF resource, paste the Internet Archive manifest of the same 1591 volume, then page to the Saturioua plate.]</w:t>
      </w:r>
      <w:r>
        <w:t xml:space="preserve"> </w:t>
      </w:r>
      <w:r>
        <w:rPr>
          <w:iCs/>
          <w:i/>
        </w:rPr>
        <w:t xml:space="preserve">[MANIFEST (verified, IIIF Presentation 3.0, loads today):</w:t>
      </w:r>
      <w:r>
        <w:rPr>
          <w:iCs/>
          <w:i/>
        </w:rPr>
        <w:t xml:space="preserve"> </w:t>
      </w:r>
      <w:hyperlink r:id="rId24">
        <w:r>
          <w:rPr>
            <w:rStyle w:val="Hyperlink"/>
            <w:iCs/>
            <w:i/>
          </w:rPr>
          <w:t xml:space="preserve">https://iiif.archive.org/iiif/brevisnarratioeo00lemo_1/manifest.json</w:t>
        </w:r>
      </w:hyperlink>
      <w:r>
        <w:rPr>
          <w:iCs/>
          <w:i/>
        </w:rPr>
        <w:t xml:space="preserve"> </w:t>
      </w:r>
      <w:r>
        <w:rPr>
          <w:iCs/>
          <w:i/>
        </w:rPr>
        <w:t xml:space="preserve">- PRE-NAVIGATE to the plate before recording, do not page-hunt on camera.]</w:t>
      </w:r>
    </w:p>
    <w:p>
      <w:pPr>
        <w:pStyle w:val="BodyText"/>
      </w:pPr>
      <w:r>
        <w:rPr>
          <w:bCs/>
          <w:b/>
        </w:rPr>
        <w:t xml:space="preserve">JOHAN:</w:t>
      </w:r>
      <w:r>
        <w:t xml:space="preserve"> </w:t>
      </w:r>
      <w:r>
        <w:t xml:space="preserve">Now here's where the standard earns its keep. On the left, that's our copy. On the right, I'm loading the very same plate, live, straight from another institution's digitised copy of the 1591 volume.</w:t>
      </w:r>
    </w:p>
    <w:p>
      <w:pPr>
        <w:pStyle w:val="BodyText"/>
      </w:pPr>
      <w:r>
        <w:rPr>
          <w:bCs/>
          <w:b/>
        </w:rPr>
        <w:t xml:space="preserve">HOST:</w:t>
      </w:r>
      <w:r>
        <w:t xml:space="preserve"> </w:t>
      </w:r>
      <w:r>
        <w:t xml:space="preserve">Two different institutions, two different countries, on one screen.</w:t>
      </w:r>
    </w:p>
    <w:p>
      <w:pPr>
        <w:pStyle w:val="BodyText"/>
      </w:pPr>
      <w:r>
        <w:rPr>
          <w:bCs/>
          <w:b/>
        </w:rPr>
        <w:t xml:space="preserve">JOHAN:</w:t>
      </w:r>
      <w:r>
        <w:t xml:space="preserve"> </w:t>
      </w:r>
      <w:r>
        <w:t xml:space="preserve">On one screen. And here's what I want a director to hear clearly. I wrote no integration to do this. I did not call them, I did not sign an agreement, I did not build a connector. I pasted one standard link. Because we both speak IIIF, they just work together.</w:t>
      </w:r>
    </w:p>
    <w:p>
      <w:pPr>
        <w:pStyle w:val="BodyText"/>
      </w:pPr>
      <w:r>
        <w:rPr>
          <w:bCs/>
          <w:b/>
        </w:rPr>
        <w:t xml:space="preserve">HOST:</w:t>
      </w:r>
      <w:r>
        <w:t xml:space="preserve"> </w:t>
      </w:r>
      <w:r>
        <w:t xml:space="preserve">So my collection can sit next to another institution's holdings without me asking anyone's permission?</w:t>
      </w:r>
    </w:p>
    <w:p>
      <w:pPr>
        <w:pStyle w:val="BodyText"/>
      </w:pPr>
      <w:r>
        <w:rPr>
          <w:bCs/>
          <w:b/>
        </w:rPr>
        <w:t xml:space="preserve">JOHAN:</w:t>
      </w:r>
      <w:r>
        <w:t xml:space="preserve"> </w:t>
      </w:r>
      <w:r>
        <w:t xml:space="preserve">Your collection stops being trapped in your building. That is the sentence. A researcher can line up every surviving copy of this engraving, from five institutions, side by side, and compare them. Your holding becomes part of a global conversation instead of a locked drawer.</w:t>
      </w:r>
    </w:p>
    <w:p>
      <w:pPr>
        <w:pStyle w:val="BlockText"/>
      </w:pPr>
      <w:r>
        <w:rPr>
          <w:bCs/>
          <w:b/>
        </w:rPr>
        <w:t xml:space="preserve">FALLBACK (if the external manifest will not load on the day):</w:t>
      </w:r>
      <w:r>
        <w:t xml:space="preserve"> </w:t>
      </w:r>
      <w:r>
        <w:t xml:space="preserve">Load our de Bry in both panes and zoom each to a different region. JOHAN: "Even with a single object, a researcher can pin two details side by side and study them together. Now imagine the right-hand pane is another institution's copy, loaded exactly the same way, with zero integration. That is the standard at work." Then move on. Do not troubleshoot on camera.</w:t>
      </w:r>
    </w:p>
    <w:p>
      <w:r>
        <w:pict>
          <v:rect style="width:0;height:1.5pt" o:hralign="center" o:hrstd="t" o:hr="t"/>
        </w:pict>
      </w:r>
    </w:p>
    <w:bookmarkEnd w:id="25"/>
    <w:bookmarkStart w:id="26" w:name="segment-5---enrichment-515-645"/>
    <w:p>
      <w:pPr>
        <w:pStyle w:val="Heading2"/>
      </w:pPr>
      <w:r>
        <w:t xml:space="preserve">Segment 5 - Enrichment (5:15-6:45)</w:t>
      </w:r>
    </w:p>
    <w:p>
      <w:pPr>
        <w:pStyle w:val="FirstParagraph"/>
      </w:pPr>
      <w:r>
        <w:rPr>
          <w:iCs/>
          <w:i/>
        </w:rPr>
        <w:t xml:space="preserve">[SCREEN: open the same record showing AI-generated annotations already applied]</w:t>
      </w:r>
    </w:p>
    <w:p>
      <w:pPr>
        <w:pStyle w:val="BodyText"/>
      </w:pPr>
      <w:r>
        <w:rPr>
          <w:bCs/>
          <w:b/>
        </w:rPr>
        <w:t xml:space="preserve">HOST:</w:t>
      </w:r>
      <w:r>
        <w:t xml:space="preserve"> </w:t>
      </w:r>
      <w:r>
        <w:t xml:space="preserve">Okay, that's access and comparison. You mentioned AI earlier.</w:t>
      </w:r>
    </w:p>
    <w:p>
      <w:pPr>
        <w:pStyle w:val="BodyText"/>
      </w:pPr>
      <w:r>
        <w:rPr>
          <w:bCs/>
          <w:b/>
        </w:rPr>
        <w:t xml:space="preserve">JOHAN:</w:t>
      </w:r>
      <w:r>
        <w:t xml:space="preserve"> </w:t>
      </w:r>
      <w:r>
        <w:t xml:space="preserve">This is my favourite part. Because IIIF gives us one standard surface for the image, we can layer intelligence on top of it. Look here.</w:t>
      </w:r>
    </w:p>
    <w:p>
      <w:pPr>
        <w:pStyle w:val="BodyText"/>
      </w:pPr>
      <w:r>
        <w:rPr>
          <w:iCs/>
          <w:i/>
        </w:rPr>
        <w:t xml:space="preserve">[CLICK: reveal annotation layer / hover an annotation pin.]</w:t>
      </w:r>
    </w:p>
    <w:p>
      <w:pPr>
        <w:pStyle w:val="BodyText"/>
      </w:pPr>
      <w:r>
        <w:rPr>
          <w:bCs/>
          <w:b/>
        </w:rPr>
        <w:t xml:space="preserve">JOHAN:</w:t>
      </w:r>
      <w:r>
        <w:t xml:space="preserve"> </w:t>
      </w:r>
      <w:r>
        <w:t xml:space="preserve">The system has read this plate. It's pulled out text, it's identified the place, it's tagged the people and the event. And it can translate that. And every one of those findings is pinned as an annotation, right on the spot in the image it refers to.</w:t>
      </w:r>
    </w:p>
    <w:p>
      <w:pPr>
        <w:pStyle w:val="BodyText"/>
      </w:pPr>
      <w:r>
        <w:rPr>
          <w:bCs/>
          <w:b/>
        </w:rPr>
        <w:t xml:space="preserve">HOST:</w:t>
      </w:r>
      <w:r>
        <w:t xml:space="preserve"> </w:t>
      </w:r>
      <w:r>
        <w:t xml:space="preserve">So the collection is describing itself.</w:t>
      </w:r>
    </w:p>
    <w:p>
      <w:pPr>
        <w:pStyle w:val="BodyText"/>
      </w:pPr>
      <w:r>
        <w:rPr>
          <w:bCs/>
          <w:b/>
        </w:rPr>
        <w:t xml:space="preserve">JOHAN:</w:t>
      </w:r>
      <w:r>
        <w:t xml:space="preserve"> </w:t>
      </w:r>
      <w:r>
        <w:t xml:space="preserve">The collection starts describing itself. And critically, those annotations are themselves a standard. They're not locked inside Heratio. Another IIIF viewer, anywhere, can read them too.</w:t>
      </w:r>
    </w:p>
    <w:p>
      <w:pPr>
        <w:pStyle w:val="BodyText"/>
      </w:pPr>
      <w:r>
        <w:rPr>
          <w:bCs/>
          <w:b/>
        </w:rPr>
        <w:t xml:space="preserve">HOST:</w:t>
      </w:r>
      <w:r>
        <w:t xml:space="preserve"> </w:t>
      </w:r>
      <w:r>
        <w:t xml:space="preserve">That's the bit that would keep me up at night in a good way. My cataloguing backlog is twenty years deep.</w:t>
      </w:r>
    </w:p>
    <w:p>
      <w:pPr>
        <w:pStyle w:val="BodyText"/>
      </w:pPr>
      <w:r>
        <w:rPr>
          <w:bCs/>
          <w:b/>
        </w:rPr>
        <w:t xml:space="preserve">JOHAN:</w:t>
      </w:r>
      <w:r>
        <w:t xml:space="preserve"> </w:t>
      </w:r>
      <w:r>
        <w:t xml:space="preserve">Every archive's is. This doesn't replace the archivist. It gives the archivist a first draft, at scale, on material that would otherwise sit undescribed forever.</w:t>
      </w:r>
    </w:p>
    <w:p>
      <w:r>
        <w:pict>
          <v:rect style="width:0;height:1.5pt" o:hralign="center" o:hrstd="t" o:hr="t"/>
        </w:pict>
      </w:r>
    </w:p>
    <w:bookmarkEnd w:id="26"/>
    <w:bookmarkStart w:id="27" w:name="segment-6---trust--the-buy-case-645-730"/>
    <w:p>
      <w:pPr>
        <w:pStyle w:val="Heading2"/>
      </w:pPr>
      <w:r>
        <w:t xml:space="preserve">Segment 6 - Trust / The Buy Case (6:45-7:30)</w:t>
      </w:r>
    </w:p>
    <w:p>
      <w:pPr>
        <w:pStyle w:val="FirstParagraph"/>
      </w:pPr>
      <w:r>
        <w:rPr>
          <w:iCs/>
          <w:i/>
        </w:rPr>
        <w:t xml:space="preserve">[SCREEN: off, or on a validation / publish-gate view if you have one ready]</w:t>
      </w:r>
    </w:p>
    <w:p>
      <w:pPr>
        <w:pStyle w:val="BodyText"/>
      </w:pPr>
      <w:r>
        <w:rPr>
          <w:bCs/>
          <w:b/>
        </w:rPr>
        <w:t xml:space="preserve">HOST:</w:t>
      </w:r>
      <w:r>
        <w:t xml:space="preserve"> </w:t>
      </w:r>
      <w:r>
        <w:t xml:space="preserve">Last hard question. This all sounds slick. What stops it being a science project that breaks the moment the clever person leaves?</w:t>
      </w:r>
    </w:p>
    <w:p>
      <w:pPr>
        <w:pStyle w:val="BodyText"/>
      </w:pPr>
      <w:r>
        <w:rPr>
          <w:bCs/>
          <w:b/>
        </w:rPr>
        <w:t xml:space="preserve">JOHAN:</w:t>
      </w:r>
      <w:r>
        <w:t xml:space="preserve"> </w:t>
      </w:r>
      <w:r>
        <w:t xml:space="preserve">Two things. One, it's built on an open, international standard, not something I invented. If we vanished tomorrow, your objects would still open in every other IIIF viewer on earth. You are not locked in. Two, Heratio checks its own work. Every object is validated against the current IIIF standard before it can go public, and it will refuse to publish something that's broken or missing its rights statement.</w:t>
      </w:r>
    </w:p>
    <w:p>
      <w:pPr>
        <w:pStyle w:val="BodyText"/>
      </w:pPr>
      <w:r>
        <w:rPr>
          <w:bCs/>
          <w:b/>
        </w:rPr>
        <w:t xml:space="preserve">HOST:</w:t>
      </w:r>
      <w:r>
        <w:t xml:space="preserve"> </w:t>
      </w:r>
      <w:r>
        <w:t xml:space="preserve">So standards and governance, not just a demo.</w:t>
      </w:r>
    </w:p>
    <w:p>
      <w:pPr>
        <w:pStyle w:val="BodyText"/>
      </w:pPr>
      <w:r>
        <w:rPr>
          <w:bCs/>
          <w:b/>
        </w:rPr>
        <w:t xml:space="preserve">JOHAN:</w:t>
      </w:r>
      <w:r>
        <w:t xml:space="preserve"> </w:t>
      </w:r>
      <w:r>
        <w:t xml:space="preserve">Standards and governance. That's the difference between a nice demo and something a national institution can actually stand behind.</w:t>
      </w:r>
    </w:p>
    <w:p>
      <w:r>
        <w:pict>
          <v:rect style="width:0;height:1.5pt" o:hralign="center" o:hrstd="t" o:hr="t"/>
        </w:pict>
      </w:r>
    </w:p>
    <w:bookmarkEnd w:id="27"/>
    <w:bookmarkStart w:id="28" w:name="segment-7---close-730-800"/>
    <w:p>
      <w:pPr>
        <w:pStyle w:val="Heading2"/>
      </w:pPr>
      <w:r>
        <w:t xml:space="preserve">Segment 7 - Close (7:30-8:00)</w:t>
      </w:r>
    </w:p>
    <w:p>
      <w:pPr>
        <w:pStyle w:val="FirstParagraph"/>
      </w:pPr>
      <w:r>
        <w:rPr>
          <w:iCs/>
          <w:i/>
        </w:rPr>
        <w:t xml:space="preserve">[SCREEN: off / hosts on camera]</w:t>
      </w:r>
    </w:p>
    <w:p>
      <w:pPr>
        <w:pStyle w:val="BodyText"/>
      </w:pPr>
      <w:r>
        <w:rPr>
          <w:bCs/>
          <w:b/>
        </w:rPr>
        <w:t xml:space="preserve">HOST:</w:t>
      </w:r>
      <w:r>
        <w:t xml:space="preserve"> </w:t>
      </w:r>
      <w:r>
        <w:t xml:space="preserve">Bring us back to Tokyo.</w:t>
      </w:r>
    </w:p>
    <w:p>
      <w:pPr>
        <w:pStyle w:val="BodyText"/>
      </w:pPr>
      <w:r>
        <w:rPr>
          <w:bCs/>
          <w:b/>
        </w:rPr>
        <w:t xml:space="preserve">JOHAN:</w:t>
      </w:r>
      <w:r>
        <w:t xml:space="preserve"> </w:t>
      </w:r>
      <w:r>
        <w:t xml:space="preserve">Our researcher. It's four in the morning her time. She's studying this 1591 engraving at a resolution no visitor to the original could ever get. It's described in her language. The people and places are already tagged. And her copy is lined up next to four other institutions' copies, all on one screen. She never got on a plane. The original never left its box.</w:t>
      </w:r>
    </w:p>
    <w:p>
      <w:pPr>
        <w:pStyle w:val="BodyText"/>
      </w:pPr>
      <w:r>
        <w:rPr>
          <w:bCs/>
          <w:b/>
        </w:rPr>
        <w:t xml:space="preserve">HOST:</w:t>
      </w:r>
      <w:r>
        <w:t xml:space="preserve"> </w:t>
      </w:r>
      <w:r>
        <w:t xml:space="preserve">And that's IIIF.</w:t>
      </w:r>
    </w:p>
    <w:p>
      <w:pPr>
        <w:pStyle w:val="BodyText"/>
      </w:pPr>
      <w:r>
        <w:rPr>
          <w:bCs/>
          <w:b/>
        </w:rPr>
        <w:t xml:space="preserve">JOHAN:</w:t>
      </w:r>
      <w:r>
        <w:t xml:space="preserve"> </w:t>
      </w:r>
      <w:r>
        <w:t xml:space="preserve">That's IIIF in Heratio. And honestly, we only scratched it today. There's 3D, there's audio and video, there's whole curated collections that travel the same way. But that's another episode.</w:t>
      </w:r>
    </w:p>
    <w:p>
      <w:pPr>
        <w:pStyle w:val="BodyText"/>
      </w:pPr>
      <w:r>
        <w:rPr>
          <w:bCs/>
          <w:b/>
        </w:rPr>
        <w:t xml:space="preserve">HOST:</w:t>
      </w:r>
      <w:r>
        <w:t xml:space="preserve"> </w:t>
      </w:r>
      <w:r>
        <w:t xml:space="preserve">Thanks for watching.</w:t>
      </w:r>
    </w:p>
    <w:p>
      <w:pPr>
        <w:pStyle w:val="BodyText"/>
      </w:pPr>
      <w:r>
        <w:rPr>
          <w:iCs/>
          <w:i/>
        </w:rPr>
        <w:t xml:space="preserve">[END - target 8:00]</w:t>
      </w:r>
    </w:p>
    <w:p>
      <w:r>
        <w:pict>
          <v:rect style="width:0;height:1.5pt" o:hralign="center" o:hrstd="t" o:hr="t"/>
        </w:pict>
      </w:r>
    </w:p>
    <w:bookmarkEnd w:id="28"/>
    <w:bookmarkStart w:id="29" w:name="directors-notes"/>
    <w:p>
      <w:pPr>
        <w:pStyle w:val="Heading2"/>
      </w:pPr>
      <w:r>
        <w:t xml:space="preserve">Director's Notes</w:t>
      </w:r>
    </w:p>
    <w:p>
      <w:pPr>
        <w:numPr>
          <w:ilvl w:val="0"/>
          <w:numId w:val="1001"/>
        </w:numPr>
        <w:pStyle w:val="Compact"/>
      </w:pPr>
      <w:r>
        <w:rPr>
          <w:bCs/>
          <w:b/>
        </w:rPr>
        <w:t xml:space="preserve">Word count</w:t>
      </w:r>
      <w:r>
        <w:t xml:space="preserve"> </w:t>
      </w:r>
      <w:r>
        <w:t xml:space="preserve">lands around the 8-minute mark at a natural pace. If you run long, Segment 5's third exchange (the backlog line) is the safest trim.</w:t>
      </w:r>
    </w:p>
    <w:p>
      <w:pPr>
        <w:numPr>
          <w:ilvl w:val="0"/>
          <w:numId w:val="1001"/>
        </w:numPr>
        <w:pStyle w:val="Compact"/>
      </w:pPr>
      <w:r>
        <w:rPr>
          <w:bCs/>
          <w:b/>
        </w:rPr>
        <w:t xml:space="preserve">Segment 4 external manifest (verified):</w:t>
      </w:r>
      <w:r>
        <w:t xml:space="preserve"> </w:t>
      </w:r>
      <w:r>
        <w:rPr>
          <w:rStyle w:val="VerbatimChar"/>
        </w:rPr>
        <w:t xml:space="preserve">https://iiif.archive.org/iiif/brevisnarratioeo00lemo_1/manifest.json</w:t>
      </w:r>
      <w:r>
        <w:t xml:space="preserve"> </w:t>
      </w:r>
      <w:r>
        <w:t xml:space="preserve">(Internet Archive, IIIF Presentation 3.0, confirmed loading 2026-07-04). It is a full-book manifest - pre-navigate to the Saturioua plate before recording. Optional prettier alternative: a Library of Congress single-plate item (test in a browser; LOC could not be verified from the app host due to Cloudflare). Fallback is written into Segment 4.</w:t>
      </w:r>
    </w:p>
    <w:p>
      <w:pPr>
        <w:numPr>
          <w:ilvl w:val="0"/>
          <w:numId w:val="1001"/>
        </w:numPr>
        <w:pStyle w:val="Compact"/>
      </w:pPr>
      <w:r>
        <w:rPr>
          <w:bCs/>
          <w:b/>
        </w:rPr>
        <w:t xml:space="preserve">Pre-warm</w:t>
      </w:r>
      <w:r>
        <w:t xml:space="preserve"> </w:t>
      </w:r>
      <w:r>
        <w:t xml:space="preserve">both viewers (open once so tiles cache) and</w:t>
      </w:r>
      <w:r>
        <w:t xml:space="preserve"> </w:t>
      </w:r>
      <w:r>
        <w:rPr>
          <w:bCs/>
          <w:b/>
        </w:rPr>
        <w:t xml:space="preserve">pre-run</w:t>
      </w:r>
      <w:r>
        <w:t xml:space="preserve"> </w:t>
      </w:r>
      <w:r>
        <w:t xml:space="preserve">the annotations so Segment 5 is instant. Never run AI live on camera.</w:t>
      </w:r>
    </w:p>
    <w:p>
      <w:pPr>
        <w:numPr>
          <w:ilvl w:val="0"/>
          <w:numId w:val="1001"/>
        </w:numPr>
        <w:pStyle w:val="Compact"/>
      </w:pPr>
      <w:r>
        <w:rPr>
          <w:bCs/>
          <w:b/>
        </w:rPr>
        <w:t xml:space="preserve">Title fix:</w:t>
      </w:r>
      <w:r>
        <w:t xml:space="preserve"> </w:t>
      </w:r>
      <w:r>
        <w:t xml:space="preserve">the record currently reads "Hunstmen." If a wide shot of the page title appears on camera, fix it first, or stay zoomed into the viewer.</w:t>
      </w:r>
    </w:p>
    <w:bookmarkEnd w:id="29"/>
    <w:bookmarkStart w:id="30" w:name="verified-demo-asset"/>
    <w:p>
      <w:pPr>
        <w:pStyle w:val="Heading2"/>
      </w:pPr>
      <w:r>
        <w:t xml:space="preserve">Verified Demo Asset</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t xml:space="preserve">Record (show page)</w:t>
            </w:r>
          </w:p>
        </w:tc>
        <w:tc>
          <w:tcPr/>
          <w:p>
            <w:pPr>
              <w:pStyle w:val="Compact"/>
              <w:jc w:val="left"/>
            </w:pPr>
            <w:hyperlink r:id="rId20">
              <w:r>
                <w:rPr>
                  <w:rStyle w:val="Hyperlink"/>
                </w:rPr>
                <w:t xml:space="preserve">https://heratio.theahg.co.za/flowers-in-the-garden</w:t>
              </w:r>
            </w:hyperlink>
          </w:p>
        </w:tc>
      </w:tr>
      <w:tr>
        <w:tc>
          <w:tcPr/>
          <w:p>
            <w:pPr>
              <w:pStyle w:val="Compact"/>
              <w:jc w:val="left"/>
            </w:pPr>
            <w:r>
              <w:t xml:space="preserve">Object</w:t>
            </w:r>
          </w:p>
        </w:tc>
        <w:tc>
          <w:tcPr/>
          <w:p>
            <w:pPr>
              <w:pStyle w:val="Compact"/>
              <w:jc w:val="left"/>
            </w:pPr>
            <w:r>
              <w:t xml:space="preserve">Ceremonies Performed by Saturioua Before Going on an Expedition Against the Enemy (Theodor de Bry, 1591)</w:t>
            </w:r>
          </w:p>
        </w:tc>
      </w:tr>
      <w:tr>
        <w:tc>
          <w:tcPr/>
          <w:p>
            <w:pPr>
              <w:pStyle w:val="Compact"/>
              <w:jc w:val="left"/>
            </w:pPr>
            <w:r>
              <w:t xml:space="preserve">Digital object id</w:t>
            </w:r>
          </w:p>
        </w:tc>
        <w:tc>
          <w:tcPr/>
          <w:p>
            <w:pPr>
              <w:pStyle w:val="Compact"/>
              <w:jc w:val="left"/>
            </w:pPr>
            <w:r>
              <w:t xml:space="preserve">1055</w:t>
            </w:r>
          </w:p>
        </w:tc>
      </w:tr>
      <w:tr>
        <w:tc>
          <w:tcPr/>
          <w:p>
            <w:pPr>
              <w:pStyle w:val="Compact"/>
              <w:jc w:val="left"/>
            </w:pPr>
            <w:r>
              <w:t xml:space="preserve">IIIF render status</w:t>
            </w:r>
          </w:p>
        </w:tc>
        <w:tc>
          <w:tcPr/>
          <w:p>
            <w:pPr>
              <w:pStyle w:val="Compact"/>
              <w:jc w:val="left"/>
            </w:pPr>
            <w:r>
              <w:t xml:space="preserve">Verified 200 OK via live pipeline</w:t>
            </w:r>
          </w:p>
        </w:tc>
      </w:tr>
      <w:tr>
        <w:tc>
          <w:tcPr/>
          <w:p>
            <w:pPr>
              <w:pStyle w:val="Compact"/>
              <w:jc w:val="left"/>
            </w:pPr>
            <w:r>
              <w:t xml:space="preserve">Image dimensions</w:t>
            </w:r>
          </w:p>
        </w:tc>
        <w:tc>
          <w:tcPr/>
          <w:p>
            <w:pPr>
              <w:pStyle w:val="Compact"/>
              <w:jc w:val="left"/>
            </w:pPr>
            <w:r>
              <w:t xml:space="preserve">2339 x 1698 px, 16-bit RGB, 300 dpi</w:t>
            </w:r>
          </w:p>
        </w:tc>
      </w:tr>
    </w:tbl>
    <w:bookmarkEnd w:id="30"/>
    <w:bookmarkEnd w:id="3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cs="Arial" w:eastAsia="Arial" w:hAnsi="Arial"/>
        <w:sz w:val="24"/>
        <w:szCs w:val="24"/>
        <w:lang w:bidi="ar-SA" w:eastAsia="en-US" w:val="en-US"/>
      </w:rPr>
    </w:rPrDefault>
    <w:pPrDefault>
      <w:pPr>
        <w:spacing w:after="200" w:line="360" w:lineRule="auto"/>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0" Target="https://heratio.theahg.co.za/flowers-in-the-garden" TargetMode="External" /><Relationship Type="http://schemas.openxmlformats.org/officeDocument/2006/relationships/hyperlink" Id="rId24" Target="https://iiif.archive.org/iiif/brevisnarratioeo00lemo_1/manifest.json" TargetMode="External" /></Relationships>
</file>

<file path=word/_rels/footnotes.xml.rels><?xml version="1.0" encoding="UTF-8"?><Relationships xmlns="http://schemas.openxmlformats.org/package/2006/relationships"><Relationship Type="http://schemas.openxmlformats.org/officeDocument/2006/relationships/hyperlink" Id="rId20" Target="https://heratio.theahg.co.za/flowers-in-the-garden" TargetMode="External" /><Relationship Type="http://schemas.openxmlformats.org/officeDocument/2006/relationships/hyperlink" Id="rId24" Target="https://iiif.archive.org/iiif/brevisnarratioeo00lemo_1/manifest.jso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2026-07-05T10:40:47Z</dcterms:created>
  <dcterms:modified xsi:type="dcterms:W3CDTF">2026-07-05T10:40:47Z</dcterms:modified>
</cp:coreProperties>
</file>

<file path=docProps/custom.xml><?xml version="1.0" encoding="utf-8"?>
<Properties xmlns="http://schemas.openxmlformats.org/officeDocument/2006/custom-properties" xmlns:vt="http://schemas.openxmlformats.org/officeDocument/2006/docPropsVTypes"/>
</file>