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Model</w:t>
      </w:r>
      <w:r>
        <w:t xml:space="preserve"> </w:t>
      </w:r>
      <w:r>
        <w:t xml:space="preserve">Was</w:t>
      </w:r>
      <w:r>
        <w:t xml:space="preserve"> </w:t>
      </w:r>
      <w:r>
        <w:t xml:space="preserve">Never</w:t>
      </w:r>
      <w:r>
        <w:t xml:space="preserve"> </w:t>
      </w:r>
      <w:r>
        <w:t xml:space="preserve">the</w:t>
      </w:r>
      <w:r>
        <w:t xml:space="preserve"> </w:t>
      </w:r>
      <w:r>
        <w:t xml:space="preserve">Hard</w:t>
      </w:r>
      <w:r>
        <w:t xml:space="preserve"> </w:t>
      </w:r>
      <w:r>
        <w:t xml:space="preserve">Part:</w:t>
      </w:r>
      <w:r>
        <w:t xml:space="preserve"> </w:t>
      </w:r>
      <w:r>
        <w:t xml:space="preserve">A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AI</w:t>
      </w:r>
      <w:r>
        <w:t xml:space="preserve"> </w:t>
      </w:r>
      <w:r>
        <w:t xml:space="preserve">in</w:t>
      </w:r>
      <w:r>
        <w:t xml:space="preserve"> </w:t>
      </w:r>
      <w:r>
        <w:t xml:space="preserve">Records</w:t>
      </w:r>
      <w:r>
        <w:t xml:space="preserve"> </w:t>
      </w:r>
      <w:r>
        <w:t xml:space="preserve">and</w:t>
      </w:r>
      <w:r>
        <w:t xml:space="preserve"> </w:t>
      </w:r>
      <w:r>
        <w:t xml:space="preserve">Archives</w:t>
      </w:r>
    </w:p>
    <w:bookmarkStart w:id="23" w:name="X770206bf800ab3abe82a5fd33d2201759398959"/>
    <w:p>
      <w:pPr>
        <w:pStyle w:val="Heading1"/>
      </w:pPr>
      <w:r>
        <w:t xml:space="preserve">The Model Was Never the Hard Part: A Framework for AI in Records and Archives</w:t>
      </w:r>
    </w:p>
    <w:p>
      <w:pPr>
        <w:pStyle w:val="FirstParagraph"/>
      </w:pPr>
      <w:r>
        <w:rPr>
          <w:iCs/>
          <w:i/>
        </w:rPr>
        <w:t xml:space="preserve">The framework we wished existed - so we wrote it. Vendor-neutral, jurisdiction-neutral, and free.</w:t>
      </w:r>
    </w:p>
    <w:p>
      <w:pPr>
        <w:pStyle w:val="BodyText"/>
      </w:pPr>
      <w:r>
        <w:t xml:space="preserve">Most organisations are sitting on decades of unstructured records: shared drives, file</w:t>
      </w:r>
      <w:r>
        <w:t xml:space="preserve"> </w:t>
      </w:r>
      <w:r>
        <w:t xml:space="preserve">shares, email stores, scanned boxes. The content is valuable, often legally significant,</w:t>
      </w:r>
      <w:r>
        <w:t xml:space="preserve"> </w:t>
      </w:r>
      <w:r>
        <w:t xml:space="preserve">and almost entirely undiscoverable. AI can change that. The hard part was never the model.</w:t>
      </w:r>
      <w:r>
        <w:t xml:space="preserve"> </w:t>
      </w:r>
      <w:r>
        <w:t xml:space="preserve">It is doing it</w:t>
      </w:r>
      <w:r>
        <w:t xml:space="preserve"> </w:t>
      </w:r>
      <w:r>
        <w:rPr>
          <w:bCs/>
          <w:b/>
        </w:rPr>
        <w:t xml:space="preserve">without losing control of governance, privacy, or the evidence trail.</w:t>
      </w:r>
    </w:p>
    <w:p>
      <w:pPr>
        <w:pStyle w:val="BodyText"/>
      </w:pPr>
      <w:r>
        <w:t xml:space="preserve">So we wrote the framework we wished existed: vendor- and jurisdiction-agnostic, written</w:t>
      </w:r>
      <w:r>
        <w:t xml:space="preserve"> </w:t>
      </w:r>
      <w:r>
        <w:t xml:space="preserve">for both AI specialists and the records, legal, and executive readers who have to sign it</w:t>
      </w:r>
      <w:r>
        <w:t xml:space="preserve"> </w:t>
      </w:r>
      <w:r>
        <w:t xml:space="preserve">off. It is built to be used three ways: an internal business case, a procurement annex,</w:t>
      </w:r>
      <w:r>
        <w:t xml:space="preserve"> </w:t>
      </w:r>
      <w:r>
        <w:t xml:space="preserve">and an operational checklist for pilot and rollout.</w:t>
      </w:r>
    </w:p>
    <w:bookmarkStart w:id="20" w:name="five-principles-that-keep-ai-accountable"/>
    <w:p>
      <w:pPr>
        <w:pStyle w:val="Heading2"/>
      </w:pPr>
      <w:r>
        <w:t xml:space="preserve">Five principles that keep AI accountable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Provenance-first.</w:t>
      </w:r>
      <w:r>
        <w:t xml:space="preserve"> </w:t>
      </w:r>
      <w:r>
        <w:t xml:space="preserve">Every AI-derived assertion carries machine-readable provenance:</w:t>
      </w:r>
      <w:r>
        <w:t xml:space="preserve"> </w:t>
      </w:r>
      <w:r>
        <w:t xml:space="preserve">what was produced, who or what ran it, when, which model and version, and how confident</w:t>
      </w:r>
      <w:r>
        <w:t xml:space="preserve"> </w:t>
      </w:r>
      <w:r>
        <w:t xml:space="preserve">it was. If you cannot trace it, you cannot trust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Privacy-by-design.</w:t>
      </w:r>
      <w:r>
        <w:t xml:space="preserve"> </w:t>
      </w:r>
      <w:r>
        <w:t xml:space="preserve">Detect personal and special-category data early, record the</w:t>
      </w:r>
      <w:r>
        <w:t xml:space="preserve"> </w:t>
      </w:r>
      <w:r>
        <w:t xml:space="preserve">lawful basis, and restrict the output accordingly.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Human-in-the-loop.</w:t>
      </w:r>
      <w:r>
        <w:t xml:space="preserve"> </w:t>
      </w:r>
      <w:r>
        <w:t xml:space="preserve">High-risk actions (disposal, transfer, sensitive access) need a</w:t>
      </w:r>
      <w:r>
        <w:t xml:space="preserve"> </w:t>
      </w:r>
      <w:r>
        <w:t xml:space="preserve">human. AI is an assistant, not an arbiter.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Standards-aligned.</w:t>
      </w:r>
      <w:r>
        <w:t xml:space="preserve"> </w:t>
      </w:r>
      <w:r>
        <w:t xml:space="preserve">Map outputs to the applicable data-protection and</w:t>
      </w:r>
      <w:r>
        <w:t xml:space="preserve"> </w:t>
      </w:r>
      <w:r>
        <w:t xml:space="preserve">access-to-information laws, national archival legislation, and the relevant ISO</w:t>
      </w:r>
      <w:r>
        <w:t xml:space="preserve"> </w:t>
      </w:r>
      <w:r>
        <w:t xml:space="preserve">standards, so the result is auditable across jurisdictions.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Phased and measurable.</w:t>
      </w:r>
      <w:r>
        <w:t xml:space="preserve"> </w:t>
      </w:r>
      <w:r>
        <w:t xml:space="preserve">Start with pilots behind real KPIs: precision and recall,</w:t>
      </w:r>
      <w:r>
        <w:t xml:space="preserve"> </w:t>
      </w:r>
      <w:r>
        <w:t xml:space="preserve">time-to-discovery, and access-to-information response times.</w:t>
      </w:r>
    </w:p>
    <w:bookmarkEnd w:id="20"/>
    <w:bookmarkStart w:id="21" w:name="what-it-actually-contains"/>
    <w:p>
      <w:pPr>
        <w:pStyle w:val="Heading2"/>
      </w:pPr>
      <w:r>
        <w:t xml:space="preserve">What it actually contains</w:t>
      </w:r>
    </w:p>
    <w:p>
      <w:pPr>
        <w:pStyle w:val="FirstParagraph"/>
      </w:pPr>
      <w:r>
        <w:t xml:space="preserve">A layered reference architecture; an end-to-end pipeline (crawl, OCR, entity extraction,</w:t>
      </w:r>
      <w:r>
        <w:t xml:space="preserve"> </w:t>
      </w:r>
      <w:r>
        <w:t xml:space="preserve">classification, sensitivity detection, human review, retention, access) with a provenance</w:t>
      </w:r>
      <w:r>
        <w:t xml:space="preserve"> </w:t>
      </w:r>
      <w:r>
        <w:t xml:space="preserve">event at every stage; a governance model with named roles and decision gates; a phased</w:t>
      </w:r>
      <w:r>
        <w:t xml:space="preserve"> </w:t>
      </w:r>
      <w:r>
        <w:t xml:space="preserve">roadmap from pilot to production; and, crucially, the</w:t>
      </w:r>
      <w:r>
        <w:t xml:space="preserve"> </w:t>
      </w:r>
      <w:r>
        <w:rPr>
          <w:bCs/>
          <w:b/>
        </w:rPr>
        <w:t xml:space="preserve">working tick-sheets</w:t>
      </w:r>
      <w:r>
        <w:t xml:space="preserve"> </w:t>
      </w:r>
      <w:r>
        <w:t xml:space="preserve">- a minimum</w:t>
      </w:r>
      <w:r>
        <w:t xml:space="preserve"> </w:t>
      </w:r>
      <w:r>
        <w:t xml:space="preserve">viable deployment checklist, a vendor and acceptance-test pack, and a compliance control</w:t>
      </w:r>
      <w:r>
        <w:t xml:space="preserve"> </w:t>
      </w:r>
      <w:r>
        <w:t xml:space="preserve">catalog that maps regulatory obligations to concrete controls and recommended</w:t>
      </w:r>
      <w:r>
        <w:t xml:space="preserve"> </w:t>
      </w:r>
      <w:r>
        <w:t xml:space="preserve">configuration.</w:t>
      </w:r>
    </w:p>
    <w:p>
      <w:pPr>
        <w:pStyle w:val="BodyText"/>
      </w:pPr>
      <w:r>
        <w:t xml:space="preserve">That last piece matters. Compliance regimes differ by country, but the</w:t>
      </w:r>
      <w:r>
        <w:t xml:space="preserve"> </w:t>
      </w:r>
      <w:r>
        <w:rPr>
          <w:iCs/>
          <w:i/>
        </w:rPr>
        <w:t xml:space="preserve">controls</w:t>
      </w:r>
      <w:r>
        <w:t xml:space="preserve"> </w:t>
      </w:r>
      <w:r>
        <w:t xml:space="preserve">do not</w:t>
      </w:r>
      <w:r>
        <w:t xml:space="preserve"> </w:t>
      </w:r>
      <w:r>
        <w:t xml:space="preserve">have to. The framework treats jurisdiction as pluggable: GDPR, freedom-of-information</w:t>
      </w:r>
      <w:r>
        <w:t xml:space="preserve"> </w:t>
      </w:r>
      <w:r>
        <w:t xml:space="preserve">statutes, sectoral health-data rules, and the rest are interchangeable examples mapped to</w:t>
      </w:r>
      <w:r>
        <w:t xml:space="preserve"> </w:t>
      </w:r>
      <w:r>
        <w:t xml:space="preserve">the same control set, never the default.</w:t>
      </w:r>
    </w:p>
    <w:bookmarkEnd w:id="21"/>
    <w:bookmarkStart w:id="22" w:name="why-we-are-giving-it-away"/>
    <w:p>
      <w:pPr>
        <w:pStyle w:val="Heading2"/>
      </w:pPr>
      <w:r>
        <w:t xml:space="preserve">Why we are giving it away</w:t>
      </w:r>
    </w:p>
    <w:p>
      <w:pPr>
        <w:pStyle w:val="FirstParagraph"/>
      </w:pPr>
      <w:r>
        <w:t xml:space="preserve">Because the sector needs a shared, honest baseline more than we need a secret. The</w:t>
      </w:r>
      <w:r>
        <w:t xml:space="preserve"> </w:t>
      </w:r>
      <w:r>
        <w:t xml:space="preserve">framework is the structured spine behind a body of work we have published on the AI,</w:t>
      </w:r>
      <w:r>
        <w:t xml:space="preserve"> </w:t>
      </w:r>
      <w:r>
        <w:t xml:space="preserve">governance, and preservation challenges in galleries, libraries, archives, and museums.</w:t>
      </w:r>
    </w:p>
    <w:p>
      <w:pPr>
        <w:pStyle w:val="BodyText"/>
      </w:pPr>
      <w:r>
        <w:t xml:space="preserve">Read the full series, and download the framework workbook, here:</w:t>
      </w:r>
      <w:r>
        <w:t xml:space="preserve"> </w:t>
      </w:r>
      <w:r>
        <w:rPr>
          <w:bCs/>
          <w:b/>
        </w:rPr>
        <w:t xml:space="preserve">https://heratio.theahg.co.za/articles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framework is part of ongoing work by The Archive and Heritage Group. The downloadable</w:t>
      </w:r>
      <w:r>
        <w:rPr>
          <w:iCs/>
          <w:i/>
        </w:rPr>
        <w:t xml:space="preserve"> </w:t>
      </w:r>
      <w:r>
        <w:rPr>
          <w:iCs/>
          <w:i/>
        </w:rPr>
        <w:t xml:space="preserve">workbook is jurisdiction-neutral; replace the placeholder pilot numbers with your own</w:t>
      </w:r>
      <w:r>
        <w:rPr>
          <w:iCs/>
          <w:i/>
        </w:rPr>
        <w:t xml:space="preserve"> </w:t>
      </w:r>
      <w:r>
        <w:rPr>
          <w:iCs/>
          <w:i/>
        </w:rPr>
        <w:t xml:space="preserve">signed pilot outputs before using it as a procurement artefact.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Model Was Never the Hard Part: A Framework for AI in Records and Archives</dc:title>
  <dc:creator/>
  <cp:keywords/>
  <dcterms:created xsi:type="dcterms:W3CDTF">2026-06-21T09:28:26Z</dcterms:created>
  <dcterms:modified xsi:type="dcterms:W3CDTF">2026-06-21T09:28:26Z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_group">
    <vt:lpwstr>The Future</vt:lpwstr>
  </property>
  <property fmtid="{D5CDD505-2E9C-101B-9397-08002B2CF9AE}" pid="3" name="attachments_label">
    <vt:lpwstr>Download the framework workbook</vt:lpwstr>
  </property>
  <property fmtid="{D5CDD505-2E9C-101B-9397-08002B2CF9AE}" pid="4" name="status">
    <vt:lpwstr>draft</vt:lpwstr>
  </property>
  <property fmtid="{D5CDD505-2E9C-101B-9397-08002B2CF9AE}" pid="5" name="summary">
    <vt:lpwstr>The framework we wished existed - so we wrote it. Vendor-neutral, jurisdiction-neutral, and free.</vt:lpwstr>
  </property>
</Properties>
</file>