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4F884" w14:textId="59753A0B" w:rsidR="00B06012" w:rsidRDefault="00B7158A">
      <w:pPr>
        <w:rPr>
          <w:sz w:val="36"/>
          <w:szCs w:val="36"/>
          <w:lang w:val="en-US"/>
        </w:rPr>
      </w:pPr>
      <w:r>
        <w:rPr>
          <w:sz w:val="36"/>
          <w:szCs w:val="36"/>
          <w:lang w:val="en-US"/>
        </w:rPr>
        <w:t>Methodology</w:t>
      </w:r>
    </w:p>
    <w:p w14:paraId="2999DD34" w14:textId="724DE38B" w:rsidR="00B7158A" w:rsidRDefault="00B7158A">
      <w:pPr>
        <w:rPr>
          <w:sz w:val="28"/>
          <w:szCs w:val="28"/>
          <w:lang w:val="en-US"/>
        </w:rPr>
      </w:pPr>
      <w:r>
        <w:rPr>
          <w:sz w:val="28"/>
          <w:szCs w:val="28"/>
          <w:lang w:val="en-US"/>
        </w:rPr>
        <w:t>Data Preparation</w:t>
      </w:r>
    </w:p>
    <w:p w14:paraId="18ADA385" w14:textId="2FB08846" w:rsidR="00B7158A" w:rsidRDefault="00B7158A" w:rsidP="00B7158A">
      <w:r w:rsidRPr="00B7158A">
        <w:t>The methodology relied on four structured data components: tariffs, charging stations, vehicle specifications with charging curves, and simulated user demands.</w:t>
      </w:r>
    </w:p>
    <w:p w14:paraId="09CF9FEB" w14:textId="089F5569" w:rsidR="00B7158A" w:rsidRDefault="00B7158A" w:rsidP="00B7158A">
      <w:pPr>
        <w:rPr>
          <w:lang w:val="en-US"/>
        </w:rPr>
      </w:pPr>
      <w:r w:rsidRPr="00B7158A">
        <w:rPr>
          <w:b/>
          <w:bCs/>
          <w:lang w:val="en-US"/>
        </w:rPr>
        <w:t>Tariff data</w:t>
      </w:r>
      <w:r w:rsidRPr="00B7158A">
        <w:rPr>
          <w:lang w:val="en-US"/>
        </w:rPr>
        <w:t xml:space="preserve"> were collected directly from operator websites (</w:t>
      </w:r>
      <w:proofErr w:type="spellStart"/>
      <w:r w:rsidRPr="00B7158A">
        <w:rPr>
          <w:lang w:val="en-US"/>
        </w:rPr>
        <w:t>SureCharge</w:t>
      </w:r>
      <w:proofErr w:type="spellEnd"/>
      <w:r w:rsidRPr="00B7158A">
        <w:rPr>
          <w:lang w:val="en-US"/>
        </w:rPr>
        <w:t xml:space="preserve">, </w:t>
      </w:r>
      <w:proofErr w:type="spellStart"/>
      <w:r w:rsidRPr="00B7158A">
        <w:rPr>
          <w:lang w:val="en-US"/>
        </w:rPr>
        <w:t>Believ</w:t>
      </w:r>
      <w:proofErr w:type="spellEnd"/>
      <w:r>
        <w:rPr>
          <w:lang w:val="en-US"/>
        </w:rPr>
        <w:t xml:space="preserve"> etc.</w:t>
      </w:r>
      <w:r w:rsidRPr="00B7158A">
        <w:rPr>
          <w:lang w:val="en-US"/>
        </w:rPr>
        <w:t>). The raw data exhibited heterogeneous formats, including per-kWh energy rates, session fees, idle charges, and membership discounts</w:t>
      </w:r>
      <w:r w:rsidR="004839CF">
        <w:rPr>
          <w:lang w:val="en-US"/>
        </w:rPr>
        <w:t xml:space="preserve"> etc</w:t>
      </w:r>
      <w:r w:rsidRPr="00B7158A">
        <w:rPr>
          <w:lang w:val="en-US"/>
        </w:rPr>
        <w:t>.</w:t>
      </w:r>
    </w:p>
    <w:p w14:paraId="21B7A839" w14:textId="77777777" w:rsidR="0086390C" w:rsidRDefault="00B7158A" w:rsidP="0086390C">
      <w:pPr>
        <w:keepNext/>
      </w:pPr>
      <w:r>
        <w:rPr>
          <w:noProof/>
        </w:rPr>
        <w:drawing>
          <wp:inline distT="0" distB="0" distL="0" distR="0" wp14:anchorId="15B110FA" wp14:editId="124C14EC">
            <wp:extent cx="2867025" cy="1447800"/>
            <wp:effectExtent l="0" t="0" r="9525" b="0"/>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8"/>
                    <a:srcRect l="24595" t="17225" r="25382" b="5775"/>
                    <a:stretch>
                      <a:fillRect/>
                    </a:stretch>
                  </pic:blipFill>
                  <pic:spPr bwMode="auto">
                    <a:xfrm>
                      <a:off x="0" y="0"/>
                      <a:ext cx="2867025" cy="14478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66FB1A" wp14:editId="61584496">
            <wp:extent cx="3056255" cy="1447800"/>
            <wp:effectExtent l="0" t="0" r="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9"/>
                    <a:stretch>
                      <a:fillRect/>
                    </a:stretch>
                  </pic:blipFill>
                  <pic:spPr>
                    <a:xfrm>
                      <a:off x="0" y="0"/>
                      <a:ext cx="3056255" cy="1447800"/>
                    </a:xfrm>
                    <a:prstGeom prst="rect">
                      <a:avLst/>
                    </a:prstGeom>
                  </pic:spPr>
                </pic:pic>
              </a:graphicData>
            </a:graphic>
          </wp:inline>
        </w:drawing>
      </w:r>
    </w:p>
    <w:p w14:paraId="2F35AFDE" w14:textId="4F22DEB1" w:rsidR="00B7158A" w:rsidRDefault="0086390C" w:rsidP="0086390C">
      <w:pPr>
        <w:pStyle w:val="Caption"/>
        <w:jc w:val="center"/>
        <w:rPr>
          <w:lang w:val="en-US"/>
        </w:rPr>
      </w:pPr>
      <w:r>
        <w:t xml:space="preserve">Figure </w:t>
      </w:r>
      <w:r>
        <w:fldChar w:fldCharType="begin"/>
      </w:r>
      <w:r>
        <w:instrText xml:space="preserve"> SEQ Figure \* ARABIC </w:instrText>
      </w:r>
      <w:r>
        <w:fldChar w:fldCharType="separate"/>
      </w:r>
      <w:r w:rsidR="001A7245">
        <w:rPr>
          <w:noProof/>
        </w:rPr>
        <w:t>1</w:t>
      </w:r>
      <w:r>
        <w:fldChar w:fldCharType="end"/>
      </w:r>
      <w:r>
        <w:rPr>
          <w:lang w:val="en-US"/>
        </w:rPr>
        <w:t xml:space="preserve"> Raw Tariff Information Examples</w:t>
      </w:r>
    </w:p>
    <w:p w14:paraId="33AA272C" w14:textId="77777777" w:rsidR="00B7158A" w:rsidRDefault="00B7158A" w:rsidP="00B7158A">
      <w:pPr>
        <w:rPr>
          <w:lang w:val="en-US"/>
        </w:rPr>
      </w:pPr>
    </w:p>
    <w:p w14:paraId="52A39E32" w14:textId="2517C54E" w:rsidR="00B7158A" w:rsidRDefault="0086390C" w:rsidP="00B7158A">
      <w:pPr>
        <w:rPr>
          <w:lang w:val="en-US"/>
        </w:rPr>
      </w:pPr>
      <w:r w:rsidRPr="0086390C">
        <w:rPr>
          <w:lang w:val="en-US"/>
        </w:rPr>
        <w:t>To enable consistent cost computation, we converted all rates to £/kWh and decomposed the tariffs into three structured datasets</w:t>
      </w:r>
      <w:r>
        <w:rPr>
          <w:lang w:val="en-US"/>
        </w:rPr>
        <w:t xml:space="preserve">. </w:t>
      </w:r>
      <w:r w:rsidR="004C1495" w:rsidRPr="004839CF">
        <w:rPr>
          <w:highlight w:val="yellow"/>
          <w:lang w:val="en-US"/>
        </w:rPr>
        <w:t>(</w:t>
      </w:r>
      <w:r w:rsidR="00B7158A" w:rsidRPr="004839CF">
        <w:rPr>
          <w:highlight w:val="yellow"/>
          <w:lang w:val="en-US"/>
        </w:rPr>
        <w:t>(</w:t>
      </w:r>
      <w:proofErr w:type="spellStart"/>
      <w:r w:rsidR="00B7158A" w:rsidRPr="004839CF">
        <w:rPr>
          <w:highlight w:val="yellow"/>
          <w:lang w:val="en-US"/>
        </w:rPr>
        <w:t>i</w:t>
      </w:r>
      <w:proofErr w:type="spellEnd"/>
      <w:r w:rsidR="00B7158A" w:rsidRPr="004839CF">
        <w:rPr>
          <w:highlight w:val="yellow"/>
          <w:lang w:val="en-US"/>
        </w:rPr>
        <w:t>) base tariffs, (ii) conditional rules (e.g., idle or time-of-use fees), and (iii) connector-specific overrides</w:t>
      </w:r>
      <w:r w:rsidR="004C1495" w:rsidRPr="004839CF">
        <w:rPr>
          <w:highlight w:val="yellow"/>
          <w:lang w:val="en-US"/>
        </w:rPr>
        <w:t>)</w:t>
      </w:r>
      <w:r w:rsidR="00B7158A" w:rsidRPr="004839CF">
        <w:rPr>
          <w:highlight w:val="yellow"/>
          <w:lang w:val="en-US"/>
        </w:rPr>
        <w:t>.</w:t>
      </w:r>
      <w:r w:rsidR="00B7158A" w:rsidRPr="00B7158A">
        <w:rPr>
          <w:lang w:val="en-US"/>
        </w:rPr>
        <w:t xml:space="preserve"> This ensured realistic and provider-specific cost estimation in the simulation environment</w:t>
      </w:r>
      <w:r>
        <w:rPr>
          <w:lang w:val="en-US"/>
        </w:rPr>
        <w:t>.</w:t>
      </w:r>
    </w:p>
    <w:p w14:paraId="510CAF75" w14:textId="77777777" w:rsidR="0086390C" w:rsidRDefault="0086390C" w:rsidP="0086390C">
      <w:pPr>
        <w:keepNext/>
        <w:jc w:val="center"/>
      </w:pPr>
      <w:r>
        <w:rPr>
          <w:noProof/>
        </w:rPr>
        <w:drawing>
          <wp:inline distT="0" distB="0" distL="0" distR="0" wp14:anchorId="07F29092" wp14:editId="1EE31F54">
            <wp:extent cx="4533900" cy="2778488"/>
            <wp:effectExtent l="0" t="0" r="0" b="3175"/>
            <wp:docPr id="85366723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67235" name="Picture 1" descr="A diagram of a diagram&#10;&#10;AI-generated content may be incorrect."/>
                    <pic:cNvPicPr/>
                  </pic:nvPicPr>
                  <pic:blipFill rotWithShape="1">
                    <a:blip r:embed="rId10"/>
                    <a:srcRect r="8432"/>
                    <a:stretch>
                      <a:fillRect/>
                    </a:stretch>
                  </pic:blipFill>
                  <pic:spPr bwMode="auto">
                    <a:xfrm>
                      <a:off x="0" y="0"/>
                      <a:ext cx="4547805" cy="2787009"/>
                    </a:xfrm>
                    <a:prstGeom prst="rect">
                      <a:avLst/>
                    </a:prstGeom>
                    <a:ln>
                      <a:noFill/>
                    </a:ln>
                    <a:extLst>
                      <a:ext uri="{53640926-AAD7-44D8-BBD7-CCE9431645EC}">
                        <a14:shadowObscured xmlns:a14="http://schemas.microsoft.com/office/drawing/2010/main"/>
                      </a:ext>
                    </a:extLst>
                  </pic:spPr>
                </pic:pic>
              </a:graphicData>
            </a:graphic>
          </wp:inline>
        </w:drawing>
      </w:r>
    </w:p>
    <w:p w14:paraId="2E661937" w14:textId="59A1D850" w:rsidR="0086390C" w:rsidRDefault="0086390C" w:rsidP="0086390C">
      <w:pPr>
        <w:pStyle w:val="Caption"/>
        <w:jc w:val="center"/>
        <w:rPr>
          <w:lang w:val="en-US"/>
        </w:rPr>
      </w:pPr>
      <w:r>
        <w:t xml:space="preserve">Figure </w:t>
      </w:r>
      <w:r>
        <w:fldChar w:fldCharType="begin"/>
      </w:r>
      <w:r>
        <w:instrText xml:space="preserve"> SEQ Figure \* ARABIC </w:instrText>
      </w:r>
      <w:r>
        <w:fldChar w:fldCharType="separate"/>
      </w:r>
      <w:r w:rsidR="001A7245">
        <w:rPr>
          <w:noProof/>
        </w:rPr>
        <w:t>2</w:t>
      </w:r>
      <w:r>
        <w:fldChar w:fldCharType="end"/>
      </w:r>
      <w:r>
        <w:rPr>
          <w:lang w:val="en-US"/>
        </w:rPr>
        <w:t xml:space="preserve"> Conversion Process</w:t>
      </w:r>
    </w:p>
    <w:p w14:paraId="502BA4C6" w14:textId="687F766E" w:rsidR="001A7245" w:rsidRDefault="001A7245" w:rsidP="001A7245">
      <w:r w:rsidRPr="001A7245">
        <w:rPr>
          <w:b/>
          <w:bCs/>
        </w:rPr>
        <w:lastRenderedPageBreak/>
        <w:t xml:space="preserve">Charging station data </w:t>
      </w:r>
      <w:r w:rsidRPr="001A7245">
        <w:t xml:space="preserve">were obtained from the UK National </w:t>
      </w:r>
      <w:r w:rsidRPr="001A7245">
        <w:t>ChargePoint</w:t>
      </w:r>
      <w:r w:rsidRPr="001A7245">
        <w:t xml:space="preserve"> Registry (NCR) {CITATION NEEDED}. After removing duplicates and fixing coordinate errors, we split the dataset into two layers: station-level metadata (for spatial queries) and connector-level features (for action feasibility in the RL environment).</w:t>
      </w:r>
    </w:p>
    <w:p w14:paraId="26EEB70D" w14:textId="77777777" w:rsidR="001A7245" w:rsidRDefault="001A7245" w:rsidP="001A7245">
      <w:pPr>
        <w:keepNext/>
        <w:jc w:val="center"/>
      </w:pPr>
      <w:r>
        <w:rPr>
          <w:noProof/>
        </w:rPr>
        <w:drawing>
          <wp:inline distT="0" distB="0" distL="0" distR="0" wp14:anchorId="04F3DB6C" wp14:editId="765C5A9E">
            <wp:extent cx="3576163" cy="2809875"/>
            <wp:effectExtent l="0" t="0" r="5715" b="0"/>
            <wp:docPr id="16780721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72187" name="Picture 1" descr="A diagram of a system&#10;&#10;AI-generated content may be incorrect."/>
                    <pic:cNvPicPr/>
                  </pic:nvPicPr>
                  <pic:blipFill rotWithShape="1">
                    <a:blip r:embed="rId11"/>
                    <a:srcRect l="5443" r="5596" b="6435"/>
                    <a:stretch>
                      <a:fillRect/>
                    </a:stretch>
                  </pic:blipFill>
                  <pic:spPr bwMode="auto">
                    <a:xfrm>
                      <a:off x="0" y="0"/>
                      <a:ext cx="3593583" cy="2823563"/>
                    </a:xfrm>
                    <a:prstGeom prst="rect">
                      <a:avLst/>
                    </a:prstGeom>
                    <a:ln>
                      <a:noFill/>
                    </a:ln>
                    <a:extLst>
                      <a:ext uri="{53640926-AAD7-44D8-BBD7-CCE9431645EC}">
                        <a14:shadowObscured xmlns:a14="http://schemas.microsoft.com/office/drawing/2010/main"/>
                      </a:ext>
                    </a:extLst>
                  </pic:spPr>
                </pic:pic>
              </a:graphicData>
            </a:graphic>
          </wp:inline>
        </w:drawing>
      </w:r>
    </w:p>
    <w:p w14:paraId="04DE94E2" w14:textId="5423C2FA" w:rsidR="001A7245" w:rsidRDefault="001A7245" w:rsidP="001A7245">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Splitting the Charging Data</w:t>
      </w:r>
    </w:p>
    <w:p w14:paraId="5A8266A4" w14:textId="77777777" w:rsidR="001A7245" w:rsidRDefault="001A7245" w:rsidP="001A7245">
      <w:pPr>
        <w:rPr>
          <w:b/>
          <w:bCs/>
        </w:rPr>
      </w:pPr>
    </w:p>
    <w:p w14:paraId="30E500C8" w14:textId="5DC32605" w:rsidR="001A7245" w:rsidRDefault="001A7245" w:rsidP="001A7245">
      <w:r w:rsidRPr="001A7245">
        <w:rPr>
          <w:b/>
          <w:bCs/>
        </w:rPr>
        <w:t>Vehicle specifications</w:t>
      </w:r>
      <w:r w:rsidRPr="001A7245">
        <w:t xml:space="preserve"> were sourced from Open EV Data v2 {CITATION NEEDED}. C</w:t>
      </w:r>
      <w:r w:rsidR="004C1495">
        <w:t>harging c</w:t>
      </w:r>
      <w:r w:rsidRPr="001A7245">
        <w:t xml:space="preserve">urves were interpolated over 0–100% </w:t>
      </w:r>
      <w:r>
        <w:t>state of charge (SoC)</w:t>
      </w:r>
      <w:r w:rsidRPr="001A7245">
        <w:t>, expressed in kWh/km, and capped by station power limits to model charging times and SoC changes.</w:t>
      </w:r>
    </w:p>
    <w:p w14:paraId="240D450A" w14:textId="77777777" w:rsidR="001A7245" w:rsidRDefault="001A7245" w:rsidP="001A7245">
      <w:pPr>
        <w:keepNext/>
        <w:jc w:val="center"/>
      </w:pPr>
      <w:r>
        <w:rPr>
          <w:noProof/>
        </w:rPr>
        <w:drawing>
          <wp:inline distT="0" distB="0" distL="0" distR="0" wp14:anchorId="3FE2E638" wp14:editId="71F2C9BD">
            <wp:extent cx="3733005" cy="2819400"/>
            <wp:effectExtent l="0" t="0" r="1270" b="0"/>
            <wp:docPr id="56040698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06985" name="Picture 1" descr="A diagram of a diagram&#10;&#10;AI-generated content may be incorrect."/>
                    <pic:cNvPicPr/>
                  </pic:nvPicPr>
                  <pic:blipFill>
                    <a:blip r:embed="rId12"/>
                    <a:stretch>
                      <a:fillRect/>
                    </a:stretch>
                  </pic:blipFill>
                  <pic:spPr>
                    <a:xfrm>
                      <a:off x="0" y="0"/>
                      <a:ext cx="3791959" cy="2863925"/>
                    </a:xfrm>
                    <a:prstGeom prst="rect">
                      <a:avLst/>
                    </a:prstGeom>
                  </pic:spPr>
                </pic:pic>
              </a:graphicData>
            </a:graphic>
          </wp:inline>
        </w:drawing>
      </w:r>
    </w:p>
    <w:p w14:paraId="7BEB7758" w14:textId="3E51E540" w:rsidR="001A7245" w:rsidRDefault="001A7245" w:rsidP="001A7245">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Splitting the EV Data</w:t>
      </w:r>
    </w:p>
    <w:p w14:paraId="03670674" w14:textId="5FAB5211" w:rsidR="004C1495" w:rsidRDefault="00E0678D" w:rsidP="004C1495">
      <w:pPr>
        <w:rPr>
          <w:lang w:val="en-US"/>
        </w:rPr>
      </w:pPr>
      <w:r w:rsidRPr="00E0678D">
        <w:rPr>
          <w:b/>
          <w:bCs/>
          <w:lang w:val="en-US"/>
        </w:rPr>
        <w:lastRenderedPageBreak/>
        <w:t>Simulated users</w:t>
      </w:r>
      <w:r w:rsidRPr="00E0678D">
        <w:rPr>
          <w:lang w:val="en-US"/>
        </w:rPr>
        <w:t xml:space="preserve"> were generated as structured trip instances combining user profiles, EV states, trip definitions, and </w:t>
      </w:r>
      <w:r w:rsidRPr="00E0678D">
        <w:rPr>
          <w:lang w:val="en-US"/>
        </w:rPr>
        <w:t>behavioral</w:t>
      </w:r>
      <w:r w:rsidRPr="00E0678D">
        <w:rPr>
          <w:lang w:val="en-US"/>
        </w:rPr>
        <w:t xml:space="preserve"> constraints (see </w:t>
      </w:r>
      <w:r>
        <w:rPr>
          <w:lang w:val="en-US"/>
        </w:rPr>
        <w:t>Table 1)</w:t>
      </w:r>
      <w:r w:rsidRPr="00E0678D">
        <w:rPr>
          <w:lang w:val="en-US"/>
        </w:rPr>
        <w:t>.</w:t>
      </w:r>
    </w:p>
    <w:tbl>
      <w:tblPr>
        <w:tblStyle w:val="TableGrid"/>
        <w:tblW w:w="9664" w:type="dxa"/>
        <w:tblLook w:val="04A0" w:firstRow="1" w:lastRow="0" w:firstColumn="1" w:lastColumn="0" w:noHBand="0" w:noVBand="1"/>
      </w:tblPr>
      <w:tblGrid>
        <w:gridCol w:w="2695"/>
        <w:gridCol w:w="6969"/>
      </w:tblGrid>
      <w:tr w:rsidR="00E0678D" w14:paraId="35491ADA" w14:textId="77777777" w:rsidTr="004C1495">
        <w:trPr>
          <w:trHeight w:val="401"/>
        </w:trPr>
        <w:tc>
          <w:tcPr>
            <w:tcW w:w="2695" w:type="dxa"/>
          </w:tcPr>
          <w:p w14:paraId="6C6C6BEE" w14:textId="6785F974" w:rsidR="00E0678D" w:rsidRPr="004C1495" w:rsidRDefault="00E0678D" w:rsidP="00E0678D">
            <w:pPr>
              <w:rPr>
                <w:rFonts w:ascii="Calibri" w:hAnsi="Calibri" w:cs="Calibri"/>
                <w:b/>
                <w:bCs/>
                <w:lang w:val="en-US"/>
              </w:rPr>
            </w:pPr>
            <w:r w:rsidRPr="004C1495">
              <w:rPr>
                <w:rFonts w:ascii="Calibri" w:hAnsi="Calibri" w:cs="Calibri"/>
                <w:b/>
                <w:bCs/>
                <w:lang w:val="en-US"/>
              </w:rPr>
              <w:t>Feature Category</w:t>
            </w:r>
          </w:p>
        </w:tc>
        <w:tc>
          <w:tcPr>
            <w:tcW w:w="6969" w:type="dxa"/>
          </w:tcPr>
          <w:p w14:paraId="167583AC" w14:textId="7B48D6FB" w:rsidR="00E0678D" w:rsidRPr="004C1495" w:rsidRDefault="00E0678D" w:rsidP="00E0678D">
            <w:pPr>
              <w:rPr>
                <w:rFonts w:ascii="Calibri" w:hAnsi="Calibri" w:cs="Calibri"/>
                <w:b/>
                <w:bCs/>
                <w:lang w:val="en-US"/>
              </w:rPr>
            </w:pPr>
            <w:r w:rsidRPr="004C1495">
              <w:rPr>
                <w:rFonts w:ascii="Calibri" w:hAnsi="Calibri" w:cs="Calibri"/>
                <w:b/>
                <w:bCs/>
                <w:lang w:val="en-US"/>
              </w:rPr>
              <w:t>Examples</w:t>
            </w:r>
          </w:p>
        </w:tc>
      </w:tr>
      <w:tr w:rsidR="00E0678D" w14:paraId="2BF61B2C" w14:textId="77777777" w:rsidTr="004C1495">
        <w:trPr>
          <w:trHeight w:val="378"/>
        </w:trPr>
        <w:tc>
          <w:tcPr>
            <w:tcW w:w="2695" w:type="dxa"/>
          </w:tcPr>
          <w:p w14:paraId="5097EDF8" w14:textId="1B6F8C87" w:rsidR="00E0678D" w:rsidRDefault="004C1495" w:rsidP="00E0678D">
            <w:pPr>
              <w:rPr>
                <w:lang w:val="en-US"/>
              </w:rPr>
            </w:pPr>
            <w:r>
              <w:rPr>
                <w:lang w:val="en-US"/>
              </w:rPr>
              <w:t>User Profile</w:t>
            </w:r>
          </w:p>
        </w:tc>
        <w:tc>
          <w:tcPr>
            <w:tcW w:w="6969" w:type="dxa"/>
          </w:tcPr>
          <w:p w14:paraId="6F911596" w14:textId="1E36E897" w:rsidR="00E0678D" w:rsidRDefault="004C1495" w:rsidP="00E0678D">
            <w:pPr>
              <w:rPr>
                <w:lang w:val="en-US"/>
              </w:rPr>
            </w:pPr>
            <w:r>
              <w:rPr>
                <w:lang w:val="en-US"/>
              </w:rPr>
              <w:t>Membership type (Member/</w:t>
            </w:r>
            <w:proofErr w:type="spellStart"/>
            <w:r>
              <w:rPr>
                <w:lang w:val="en-US"/>
              </w:rPr>
              <w:t>Payg</w:t>
            </w:r>
            <w:proofErr w:type="spellEnd"/>
            <w:r>
              <w:rPr>
                <w:lang w:val="en-US"/>
              </w:rPr>
              <w:t>), Subscription status, Sessions per month</w:t>
            </w:r>
          </w:p>
        </w:tc>
      </w:tr>
      <w:tr w:rsidR="00E0678D" w14:paraId="0C3EA4A9" w14:textId="77777777" w:rsidTr="004C1495">
        <w:trPr>
          <w:trHeight w:val="401"/>
        </w:trPr>
        <w:tc>
          <w:tcPr>
            <w:tcW w:w="2695" w:type="dxa"/>
          </w:tcPr>
          <w:p w14:paraId="1B7D2E3E" w14:textId="42834A28" w:rsidR="00E0678D" w:rsidRDefault="004C1495" w:rsidP="00E0678D">
            <w:pPr>
              <w:rPr>
                <w:lang w:val="en-US"/>
              </w:rPr>
            </w:pPr>
            <w:r>
              <w:rPr>
                <w:lang w:val="en-US"/>
              </w:rPr>
              <w:t>Trip Definition</w:t>
            </w:r>
          </w:p>
        </w:tc>
        <w:tc>
          <w:tcPr>
            <w:tcW w:w="6969" w:type="dxa"/>
          </w:tcPr>
          <w:p w14:paraId="2C63D066" w14:textId="72082DC3" w:rsidR="00E0678D" w:rsidRDefault="004C1495" w:rsidP="00E0678D">
            <w:pPr>
              <w:rPr>
                <w:lang w:val="en-US"/>
              </w:rPr>
            </w:pPr>
            <w:r>
              <w:rPr>
                <w:lang w:val="en-US"/>
              </w:rPr>
              <w:t>Origin-Destination coordinates, Departure time, Trip distance</w:t>
            </w:r>
          </w:p>
        </w:tc>
      </w:tr>
      <w:tr w:rsidR="00E0678D" w14:paraId="4B451B8C" w14:textId="77777777" w:rsidTr="004C1495">
        <w:trPr>
          <w:trHeight w:val="378"/>
        </w:trPr>
        <w:tc>
          <w:tcPr>
            <w:tcW w:w="2695" w:type="dxa"/>
          </w:tcPr>
          <w:p w14:paraId="5A3FA56F" w14:textId="545FF740" w:rsidR="00E0678D" w:rsidRDefault="004C1495" w:rsidP="00E0678D">
            <w:pPr>
              <w:rPr>
                <w:lang w:val="en-US"/>
              </w:rPr>
            </w:pPr>
            <w:r>
              <w:rPr>
                <w:lang w:val="en-US"/>
              </w:rPr>
              <w:t>EV State</w:t>
            </w:r>
          </w:p>
        </w:tc>
        <w:tc>
          <w:tcPr>
            <w:tcW w:w="6969" w:type="dxa"/>
          </w:tcPr>
          <w:p w14:paraId="56BA7C73" w14:textId="332B9928" w:rsidR="00E0678D" w:rsidRDefault="004C1495" w:rsidP="00E0678D">
            <w:pPr>
              <w:rPr>
                <w:lang w:val="en-US"/>
              </w:rPr>
            </w:pPr>
            <w:r>
              <w:rPr>
                <w:lang w:val="en-US"/>
              </w:rPr>
              <w:t>Assigned EV model, Start SoC, Reserve SoC, Available energy</w:t>
            </w:r>
          </w:p>
        </w:tc>
      </w:tr>
      <w:tr w:rsidR="00E0678D" w14:paraId="62DEF343" w14:textId="77777777" w:rsidTr="004C1495">
        <w:trPr>
          <w:trHeight w:val="401"/>
        </w:trPr>
        <w:tc>
          <w:tcPr>
            <w:tcW w:w="2695" w:type="dxa"/>
          </w:tcPr>
          <w:p w14:paraId="353EA68C" w14:textId="0E8399C7" w:rsidR="00E0678D" w:rsidRDefault="004C1495" w:rsidP="00E0678D">
            <w:pPr>
              <w:rPr>
                <w:lang w:val="en-US"/>
              </w:rPr>
            </w:pPr>
            <w:r>
              <w:rPr>
                <w:lang w:val="en-US"/>
              </w:rPr>
              <w:t>Preferences &amp; Constraints</w:t>
            </w:r>
          </w:p>
        </w:tc>
        <w:tc>
          <w:tcPr>
            <w:tcW w:w="6969" w:type="dxa"/>
          </w:tcPr>
          <w:p w14:paraId="3F8816C9" w14:textId="2E67E2D0" w:rsidR="00E0678D" w:rsidRDefault="004C1495" w:rsidP="00E0678D">
            <w:pPr>
              <w:rPr>
                <w:lang w:val="en-US"/>
              </w:rPr>
            </w:pPr>
            <w:r>
              <w:rPr>
                <w:lang w:val="en-US"/>
              </w:rPr>
              <w:t>Optimisation objective, max detour km</w:t>
            </w:r>
          </w:p>
        </w:tc>
      </w:tr>
      <w:tr w:rsidR="00E0678D" w14:paraId="1E68E42B" w14:textId="77777777" w:rsidTr="004C1495">
        <w:trPr>
          <w:trHeight w:val="292"/>
        </w:trPr>
        <w:tc>
          <w:tcPr>
            <w:tcW w:w="2695" w:type="dxa"/>
          </w:tcPr>
          <w:p w14:paraId="1E272DCE" w14:textId="0140DDC1" w:rsidR="00E0678D" w:rsidRDefault="004C1495" w:rsidP="00E0678D">
            <w:pPr>
              <w:rPr>
                <w:lang w:val="en-US"/>
              </w:rPr>
            </w:pPr>
            <w:r>
              <w:rPr>
                <w:lang w:val="en-US"/>
              </w:rPr>
              <w:t>Energy Efficiency</w:t>
            </w:r>
          </w:p>
        </w:tc>
        <w:tc>
          <w:tcPr>
            <w:tcW w:w="6969" w:type="dxa"/>
          </w:tcPr>
          <w:p w14:paraId="6014F0DB" w14:textId="7A02B9C2" w:rsidR="00E0678D" w:rsidRDefault="004C1495" w:rsidP="004C1495">
            <w:pPr>
              <w:keepNext/>
              <w:rPr>
                <w:lang w:val="en-US"/>
              </w:rPr>
            </w:pPr>
            <w:r>
              <w:rPr>
                <w:lang w:val="en-US"/>
              </w:rPr>
              <w:t>Consumption in kWh/km, estimated required kWh per trip</w:t>
            </w:r>
          </w:p>
        </w:tc>
      </w:tr>
    </w:tbl>
    <w:p w14:paraId="21B2B3E0" w14:textId="601E485F" w:rsidR="004C1495" w:rsidRDefault="004C1495" w:rsidP="00F40F34">
      <w:pPr>
        <w:pStyle w:val="Caption"/>
        <w:jc w:val="center"/>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Feature Categories &amp; Examples</w:t>
      </w:r>
    </w:p>
    <w:p w14:paraId="04CD61F8" w14:textId="350C7960" w:rsidR="004C1495" w:rsidRDefault="00F40F34" w:rsidP="00F40F34">
      <w:r w:rsidRPr="00F40F34">
        <w:t xml:space="preserve">Together, these four components provided a unified and reproducible dataset for training and evaluating the RL agents. By integrating </w:t>
      </w:r>
      <w:r>
        <w:t>these</w:t>
      </w:r>
      <w:r w:rsidRPr="00F40F34">
        <w:t>, the environment captures both system-level constraints and realistic user behaviour.</w:t>
      </w:r>
    </w:p>
    <w:p w14:paraId="59D9B53D" w14:textId="77777777" w:rsidR="004839CF" w:rsidRDefault="004839CF" w:rsidP="00F40F34"/>
    <w:p w14:paraId="09E356EE" w14:textId="0BBF26A9" w:rsidR="004839CF" w:rsidRPr="009A4541" w:rsidRDefault="004839CF" w:rsidP="00F40F34">
      <w:pPr>
        <w:rPr>
          <w:b/>
          <w:bCs/>
          <w:sz w:val="28"/>
          <w:szCs w:val="28"/>
        </w:rPr>
      </w:pPr>
      <w:r w:rsidRPr="009A4541">
        <w:rPr>
          <w:b/>
          <w:bCs/>
          <w:sz w:val="28"/>
          <w:szCs w:val="28"/>
        </w:rPr>
        <w:t>Environment Design</w:t>
      </w:r>
    </w:p>
    <w:p w14:paraId="2E9537F2" w14:textId="2840490C" w:rsidR="00ED5B6E" w:rsidRPr="00814DCF" w:rsidRDefault="00814DCF" w:rsidP="00814DCF">
      <w:r w:rsidRPr="00814DCF">
        <w:t>The charging decision-making task was formalised as a Markov Decision Process (MDP) {CITATION NEEDED}, defined as</w:t>
      </w:r>
    </w:p>
    <w:p w14:paraId="2AE3B322" w14:textId="7FFB652D" w:rsidR="00814DCF" w:rsidRPr="00814DCF" w:rsidRDefault="00814DCF" w:rsidP="00814DCF">
      <w:pPr>
        <w:jc w:val="center"/>
        <w:rPr>
          <w:sz w:val="36"/>
          <w:szCs w:val="36"/>
          <w:lang w:val="en-US"/>
        </w:rPr>
      </w:pPr>
      <m:oMathPara>
        <m:oMath>
          <m:r>
            <w:rPr>
              <w:rFonts w:ascii="Cambria Math" w:hAnsi="Cambria Math"/>
              <w:sz w:val="36"/>
              <w:szCs w:val="36"/>
              <w:lang w:val="en-US"/>
            </w:rPr>
            <m:t>M=</m:t>
          </m:r>
          <m:d>
            <m:dPr>
              <m:ctrlPr>
                <w:rPr>
                  <w:rFonts w:ascii="Cambria Math" w:hAnsi="Cambria Math"/>
                  <w:i/>
                  <w:sz w:val="36"/>
                  <w:szCs w:val="36"/>
                  <w:lang w:val="en-US"/>
                </w:rPr>
              </m:ctrlPr>
            </m:dPr>
            <m:e>
              <m:r>
                <w:rPr>
                  <w:rFonts w:ascii="Cambria Math" w:hAnsi="Cambria Math"/>
                  <w:sz w:val="36"/>
                  <w:szCs w:val="36"/>
                  <w:lang w:val="en-US"/>
                </w:rPr>
                <m:t>S</m:t>
              </m:r>
              <m:r>
                <w:rPr>
                  <w:rFonts w:ascii="Cambria Math" w:hAnsi="Cambria Math"/>
                  <w:sz w:val="36"/>
                  <w:szCs w:val="36"/>
                  <w:lang w:val="en-US"/>
                </w:rPr>
                <m:t>,A,P,R,γ</m:t>
              </m:r>
            </m:e>
          </m:d>
        </m:oMath>
      </m:oMathPara>
    </w:p>
    <w:p w14:paraId="30614A35" w14:textId="4FFA403F" w:rsidR="00814DCF" w:rsidRPr="00814DCF" w:rsidRDefault="00814DCF" w:rsidP="00814DCF">
      <w:pPr>
        <w:rPr>
          <w:lang w:val="en-US"/>
        </w:rPr>
      </w:pPr>
      <w:r w:rsidRPr="00814DCF">
        <w:rPr>
          <w:lang w:val="en-US"/>
        </w:rPr>
        <w:t>where S is the state space, A the action space, P the transition dynamics, R the reward function, and the discount factor.</w:t>
      </w:r>
    </w:p>
    <w:p w14:paraId="3A8ADC4D" w14:textId="576F2874" w:rsidR="009A4541" w:rsidRPr="009A4541" w:rsidRDefault="009A4541" w:rsidP="009A4541">
      <w:pPr>
        <w:rPr>
          <w:lang w:val="en-US"/>
        </w:rPr>
      </w:pPr>
      <w:r w:rsidRPr="009A4541">
        <w:rPr>
          <w:b/>
          <w:bCs/>
          <w:lang w:val="en-US"/>
        </w:rPr>
        <w:t>State vector</w:t>
      </w:r>
      <w:r w:rsidRPr="009A4541">
        <w:rPr>
          <w:b/>
          <w:bCs/>
          <w:lang w:val="en-US"/>
        </w:rPr>
        <w:t>,</w:t>
      </w:r>
      <w:r w:rsidRPr="009A4541">
        <w:rPr>
          <w:b/>
          <w:bCs/>
          <w:lang w:val="en-US"/>
        </w:rPr>
        <w:t xml:space="preserve"> </w:t>
      </w:r>
      <w:r w:rsidRPr="009A4541">
        <w:rPr>
          <w:lang w:val="en-US"/>
        </w:rPr>
        <w:t>Observations include SoC, vehicle position, distance to destination, and attributes of up to k candidate stations (connector type, power, tariff, detour cost).</w:t>
      </w:r>
    </w:p>
    <w:p w14:paraId="7C323848" w14:textId="40F1DD2B" w:rsidR="009A4541" w:rsidRPr="009A4541" w:rsidRDefault="009A4541" w:rsidP="009A4541">
      <w:pPr>
        <w:rPr>
          <w:lang w:val="en-US"/>
        </w:rPr>
      </w:pPr>
      <w:r w:rsidRPr="009A4541">
        <w:rPr>
          <w:b/>
          <w:bCs/>
          <w:lang w:val="en-US"/>
        </w:rPr>
        <w:t>Action space</w:t>
      </w:r>
      <w:r w:rsidRPr="009A4541">
        <w:rPr>
          <w:lang w:val="en-US"/>
        </w:rPr>
        <w:t>. The agent selects one of the top-k</w:t>
      </w:r>
      <w:r>
        <w:rPr>
          <w:lang w:val="en-US"/>
        </w:rPr>
        <w:t xml:space="preserve"> </w:t>
      </w:r>
      <w:r w:rsidRPr="009A4541">
        <w:rPr>
          <w:lang w:val="en-US"/>
        </w:rPr>
        <w:t>stations. If fewer are available, remaining slots are padded with dummy actions that incur penalties if chosen.</w:t>
      </w:r>
    </w:p>
    <w:p w14:paraId="2DA618D8" w14:textId="77777777" w:rsidR="009A4541" w:rsidRPr="009A4541" w:rsidRDefault="009A4541" w:rsidP="009A4541">
      <w:pPr>
        <w:rPr>
          <w:lang w:val="en-US"/>
        </w:rPr>
      </w:pPr>
      <w:r w:rsidRPr="009A4541">
        <w:rPr>
          <w:b/>
          <w:bCs/>
          <w:lang w:val="en-US"/>
        </w:rPr>
        <w:t>Transition dynamics</w:t>
      </w:r>
      <w:r w:rsidRPr="009A4541">
        <w:rPr>
          <w:lang w:val="en-US"/>
        </w:rPr>
        <w:t>. Driving reduces SoC and advances time (with traffic effects), while charging replenishes SoC according to nonlinear curves capped by connector power, with a fixed three-minute overhead per session.</w:t>
      </w:r>
    </w:p>
    <w:p w14:paraId="5813E584" w14:textId="77777777" w:rsidR="009A4541" w:rsidRPr="009A4541" w:rsidRDefault="009A4541" w:rsidP="009A4541">
      <w:pPr>
        <w:rPr>
          <w:lang w:val="en-US"/>
        </w:rPr>
      </w:pPr>
      <w:r w:rsidRPr="009A4541">
        <w:rPr>
          <w:b/>
          <w:bCs/>
          <w:lang w:val="en-US"/>
        </w:rPr>
        <w:t>Reward function.</w:t>
      </w:r>
      <w:r w:rsidRPr="009A4541">
        <w:rPr>
          <w:lang w:val="en-US"/>
        </w:rPr>
        <w:t xml:space="preserve"> Supports cost, time, and hybrid objectives, with shaping terms: +50 for success, –200 for depletion, –2 for infeasible choices (see Section 3.3).</w:t>
      </w:r>
    </w:p>
    <w:p w14:paraId="0E58EAFF" w14:textId="19BE9789" w:rsidR="009A4541" w:rsidRDefault="009A4541" w:rsidP="009A4541">
      <w:pPr>
        <w:rPr>
          <w:lang w:val="en-US"/>
        </w:rPr>
      </w:pPr>
      <w:r w:rsidRPr="009A4541">
        <w:rPr>
          <w:b/>
          <w:bCs/>
          <w:lang w:val="en-US"/>
        </w:rPr>
        <w:t>Traffic modelling</w:t>
      </w:r>
      <w:r w:rsidRPr="009A4541">
        <w:rPr>
          <w:lang w:val="en-US"/>
        </w:rPr>
        <w:t>. The environment offers three modes: constant-speed fallback (25 km/h), lightweight congestion multipliers (×1.6 AM, ×1.5 PM, ×1.0 off-peak), and SUMO-backed microscopic simulation {CITATION NEEDED}. While multipliers were useful for prototyping, all reported experiments employed SUMO for realistic congestion and routing.</w:t>
      </w:r>
    </w:p>
    <w:p w14:paraId="7B633109" w14:textId="24C61876" w:rsidR="009A4541" w:rsidRDefault="009A4541" w:rsidP="009A4541">
      <w:r w:rsidRPr="009A4541">
        <w:rPr>
          <w:b/>
          <w:bCs/>
        </w:rPr>
        <w:t>Design contributions.</w:t>
      </w:r>
      <w:r w:rsidRPr="009A4541">
        <w:t xml:space="preserve"> To ensure non-trivial learning, initial SoC was sampled low (10–30%) and trip lengths set to 12–25 km, even though many real London trips would not require charging. Each </w:t>
      </w:r>
      <w:r w:rsidRPr="009A4541">
        <w:lastRenderedPageBreak/>
        <w:t>charging session included a three-minute overhead, and infeasible actions triggered penalties. These adjustments deviate from typical travel but were necessary to prevent trivial episodes and provide sufficient learning signals, reflecting a trade-off between realism and trainability.</w:t>
      </w:r>
    </w:p>
    <w:p w14:paraId="4EA8E99E" w14:textId="12797F3D" w:rsidR="00FD7439" w:rsidRDefault="00FD7439" w:rsidP="009A4541">
      <w:r w:rsidRPr="00FD7439">
        <w:t>Together, these design elements produced an RL environment that was both computationally feasible and sufficiently realistic to evaluate charging strategies under urban driving conditions. While simplified in some respects, the use of SUMO-backed traffic and structured user demands ensured that the environment captured the essential challenges of EV route planning in Inner London.</w:t>
      </w:r>
    </w:p>
    <w:p w14:paraId="28A128CC" w14:textId="1C67CE63" w:rsidR="00FD7439" w:rsidRPr="00CA638C" w:rsidRDefault="009C649D" w:rsidP="009A4541">
      <w:pPr>
        <w:rPr>
          <w:b/>
          <w:bCs/>
          <w:sz w:val="28"/>
          <w:szCs w:val="28"/>
        </w:rPr>
      </w:pPr>
      <w:r w:rsidRPr="00CA638C">
        <w:rPr>
          <w:b/>
          <w:bCs/>
          <w:sz w:val="28"/>
          <w:szCs w:val="28"/>
        </w:rPr>
        <w:t>Reward Design</w:t>
      </w:r>
    </w:p>
    <w:p w14:paraId="319A4F38" w14:textId="045B8C54" w:rsidR="009C649D" w:rsidRDefault="00CA638C" w:rsidP="00CA638C">
      <w:r w:rsidRPr="00CA638C">
        <w:t>The environment supported three primary reward definitions:</w:t>
      </w:r>
    </w:p>
    <w:p w14:paraId="778FA4F9" w14:textId="1D111B5A" w:rsidR="00CA638C" w:rsidRPr="009C649D" w:rsidRDefault="00CA638C" w:rsidP="00CA638C">
      <w:r w:rsidRPr="00CA638C">
        <w:drawing>
          <wp:inline distT="0" distB="0" distL="0" distR="0" wp14:anchorId="34531A99" wp14:editId="5414BC47">
            <wp:extent cx="5943600" cy="3070860"/>
            <wp:effectExtent l="0" t="0" r="0" b="0"/>
            <wp:docPr id="186102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2628" name="Picture 1" descr="A screenshot of a computer&#10;&#10;AI-generated content may be incorrect."/>
                    <pic:cNvPicPr/>
                  </pic:nvPicPr>
                  <pic:blipFill>
                    <a:blip r:embed="rId13"/>
                    <a:stretch>
                      <a:fillRect/>
                    </a:stretch>
                  </pic:blipFill>
                  <pic:spPr>
                    <a:xfrm>
                      <a:off x="0" y="0"/>
                      <a:ext cx="5943600" cy="3070860"/>
                    </a:xfrm>
                    <a:prstGeom prst="rect">
                      <a:avLst/>
                    </a:prstGeom>
                  </pic:spPr>
                </pic:pic>
              </a:graphicData>
            </a:graphic>
          </wp:inline>
        </w:drawing>
      </w:r>
    </w:p>
    <w:p w14:paraId="3C5C9D80" w14:textId="77777777" w:rsidR="00CA638C" w:rsidRPr="00CA638C" w:rsidRDefault="00CA638C" w:rsidP="00CA638C">
      <w:pPr>
        <w:rPr>
          <w:lang w:val="en-US"/>
        </w:rPr>
      </w:pPr>
      <w:r w:rsidRPr="00CA638C">
        <w:rPr>
          <w:lang w:val="en-US"/>
        </w:rPr>
        <w:t xml:space="preserve">where </w:t>
      </w:r>
      <w:proofErr w:type="spellStart"/>
      <w:r w:rsidRPr="00CA638C">
        <w:rPr>
          <w:lang w:val="en-US"/>
        </w:rPr>
        <w:t>TtT_tTt</w:t>
      </w:r>
      <w:proofErr w:type="spellEnd"/>
      <w:r w:rsidRPr="00CA638C">
        <w:rPr>
          <w:rFonts w:ascii="Arial" w:hAnsi="Arial" w:cs="Arial"/>
          <w:lang w:val="en-US"/>
        </w:rPr>
        <w:t>​</w:t>
      </w:r>
      <w:r w:rsidRPr="00CA638C">
        <w:rPr>
          <w:lang w:val="en-US"/>
        </w:rPr>
        <w:t xml:space="preserve"> is total journey time in minutes and </w:t>
      </w:r>
      <w:proofErr w:type="spellStart"/>
      <w:r w:rsidRPr="00CA638C">
        <w:rPr>
          <w:lang w:val="en-US"/>
        </w:rPr>
        <w:t>CtC_tCt</w:t>
      </w:r>
      <w:proofErr w:type="spellEnd"/>
      <w:r w:rsidRPr="00CA638C">
        <w:rPr>
          <w:rFonts w:ascii="Arial" w:hAnsi="Arial" w:cs="Arial"/>
          <w:lang w:val="en-US"/>
        </w:rPr>
        <w:t>​</w:t>
      </w:r>
      <w:r w:rsidRPr="00CA638C">
        <w:rPr>
          <w:lang w:val="en-US"/>
        </w:rPr>
        <w:t xml:space="preserve"> is cost in GBP. The denominators </w:t>
      </w:r>
      <w:proofErr w:type="spellStart"/>
      <w:r w:rsidRPr="00CA638C">
        <w:rPr>
          <w:lang w:val="en-US"/>
        </w:rPr>
        <w:t>normalise</w:t>
      </w:r>
      <w:proofErr w:type="spellEnd"/>
      <w:r w:rsidRPr="00CA638C">
        <w:rPr>
          <w:lang w:val="en-US"/>
        </w:rPr>
        <w:t xml:space="preserve"> magnitudes to prevent either factor from dominating.</w:t>
      </w:r>
    </w:p>
    <w:p w14:paraId="4812FAA3" w14:textId="77777777" w:rsidR="00CA638C" w:rsidRDefault="00CA638C" w:rsidP="00CA638C">
      <w:pPr>
        <w:rPr>
          <w:lang w:val="en-US"/>
        </w:rPr>
      </w:pPr>
      <w:r w:rsidRPr="00CA638C">
        <w:rPr>
          <w:b/>
          <w:bCs/>
          <w:lang w:val="en-US"/>
        </w:rPr>
        <w:t>Reward shaping</w:t>
      </w:r>
      <w:r w:rsidRPr="00CA638C">
        <w:rPr>
          <w:lang w:val="en-US"/>
        </w:rPr>
        <w:t xml:space="preserve"> was applied to provide stronger learning signals. Successful trip completion yielded a bonus of +50, while battery depletion triggered a –200 penalty, set deliberately high to enforce feasibility. Selecting an infeasible charging station produced a –2 penalty, discouraging wasted actions.</w:t>
      </w:r>
    </w:p>
    <w:p w14:paraId="101AB311" w14:textId="77777777" w:rsidR="00CA638C" w:rsidRPr="00CA638C" w:rsidRDefault="00CA638C" w:rsidP="00CA638C">
      <w:pPr>
        <w:rPr>
          <w:lang w:val="en-US"/>
        </w:rPr>
      </w:pPr>
      <w:r w:rsidRPr="00CA638C">
        <w:rPr>
          <w:b/>
          <w:bCs/>
          <w:lang w:val="en-US"/>
        </w:rPr>
        <w:t>Indirect influences.</w:t>
      </w:r>
      <w:r w:rsidRPr="00CA638C">
        <w:rPr>
          <w:lang w:val="en-US"/>
        </w:rPr>
        <w:t xml:space="preserve"> Several environment factors indirectly shaped the reward:</w:t>
      </w:r>
    </w:p>
    <w:p w14:paraId="6B543EEE" w14:textId="77777777" w:rsidR="00CA638C" w:rsidRPr="00CA638C" w:rsidRDefault="00CA638C" w:rsidP="00CA638C">
      <w:pPr>
        <w:pStyle w:val="NoSpacing"/>
        <w:numPr>
          <w:ilvl w:val="0"/>
          <w:numId w:val="3"/>
        </w:numPr>
        <w:rPr>
          <w:lang w:val="en-US"/>
        </w:rPr>
      </w:pPr>
      <w:r w:rsidRPr="00CA638C">
        <w:rPr>
          <w:lang w:val="en-US"/>
        </w:rPr>
        <w:t>A three-minute overhead per charging session discouraged both micro-charging and excessive station hopping.</w:t>
      </w:r>
    </w:p>
    <w:p w14:paraId="19FF33AA" w14:textId="77777777" w:rsidR="00CA638C" w:rsidRPr="00CA638C" w:rsidRDefault="00CA638C" w:rsidP="00CA638C">
      <w:pPr>
        <w:pStyle w:val="NoSpacing"/>
        <w:numPr>
          <w:ilvl w:val="0"/>
          <w:numId w:val="3"/>
        </w:numPr>
        <w:rPr>
          <w:lang w:val="en-US"/>
        </w:rPr>
      </w:pPr>
      <w:r w:rsidRPr="00CA638C">
        <w:rPr>
          <w:lang w:val="en-US"/>
        </w:rPr>
        <w:t>Traffic conditions (constant speed, multipliers, or SUMO congestion) embedded realistic delay costs.</w:t>
      </w:r>
    </w:p>
    <w:p w14:paraId="6E6DB654" w14:textId="77777777" w:rsidR="00CA638C" w:rsidRPr="00CA638C" w:rsidRDefault="00CA638C" w:rsidP="00CA638C">
      <w:pPr>
        <w:pStyle w:val="NoSpacing"/>
        <w:numPr>
          <w:ilvl w:val="0"/>
          <w:numId w:val="3"/>
        </w:numPr>
        <w:rPr>
          <w:lang w:val="en-US"/>
        </w:rPr>
      </w:pPr>
      <w:r w:rsidRPr="00CA638C">
        <w:rPr>
          <w:lang w:val="en-US"/>
        </w:rPr>
        <w:t>Charging efficiency (92%92\%92%) and connector power limits affected how much usable SoC could be gained, making some cheap stations unattractive.</w:t>
      </w:r>
    </w:p>
    <w:p w14:paraId="01F8AFDA" w14:textId="77777777" w:rsidR="00CA638C" w:rsidRDefault="00CA638C" w:rsidP="00CA638C">
      <w:pPr>
        <w:pStyle w:val="NoSpacing"/>
        <w:numPr>
          <w:ilvl w:val="0"/>
          <w:numId w:val="3"/>
        </w:numPr>
        <w:rPr>
          <w:lang w:val="en-US"/>
        </w:rPr>
      </w:pPr>
      <w:r w:rsidRPr="00CA638C">
        <w:rPr>
          <w:lang w:val="en-US"/>
        </w:rPr>
        <w:lastRenderedPageBreak/>
        <w:t xml:space="preserve">Reserve SoC constraints </w:t>
      </w:r>
      <w:proofErr w:type="spellStart"/>
      <w:r w:rsidRPr="00CA638C">
        <w:rPr>
          <w:lang w:val="en-US"/>
        </w:rPr>
        <w:t>penalised</w:t>
      </w:r>
      <w:proofErr w:type="spellEnd"/>
      <w:r w:rsidRPr="00CA638C">
        <w:rPr>
          <w:lang w:val="en-US"/>
        </w:rPr>
        <w:t xml:space="preserve"> borderline trips by reducing feasibility.</w:t>
      </w:r>
    </w:p>
    <w:p w14:paraId="13EFE70B" w14:textId="77777777" w:rsidR="00CA638C" w:rsidRPr="00CA638C" w:rsidRDefault="00CA638C" w:rsidP="00CA638C">
      <w:pPr>
        <w:pStyle w:val="NoSpacing"/>
        <w:rPr>
          <w:lang w:val="en-US"/>
        </w:rPr>
      </w:pPr>
    </w:p>
    <w:p w14:paraId="3C7EF112" w14:textId="77777777" w:rsidR="00CA638C" w:rsidRPr="00CA638C" w:rsidRDefault="00CA638C" w:rsidP="00CA638C">
      <w:pPr>
        <w:rPr>
          <w:lang w:val="en-US"/>
        </w:rPr>
      </w:pPr>
      <w:r w:rsidRPr="00CA638C">
        <w:rPr>
          <w:b/>
          <w:bCs/>
          <w:lang w:val="en-US"/>
        </w:rPr>
        <w:t>Hybrid scaling.</w:t>
      </w:r>
      <w:r w:rsidRPr="00CA638C">
        <w:rPr>
          <w:lang w:val="en-US"/>
        </w:rPr>
        <w:t xml:space="preserve"> A value of time of £0.05/minute {CITATION NEEDED} was used to align cost and time on a consistent scale, preventing degenerate policies that optimised one metric while ignoring the other (see Fig. 4).</w:t>
      </w:r>
    </w:p>
    <w:p w14:paraId="6CF32631" w14:textId="77777777" w:rsidR="00CA638C" w:rsidRPr="00CA638C" w:rsidRDefault="00CA638C" w:rsidP="00CA638C">
      <w:pPr>
        <w:rPr>
          <w:lang w:val="en-US"/>
        </w:rPr>
      </w:pPr>
      <w:r w:rsidRPr="00CA638C">
        <w:rPr>
          <w:lang w:val="en-US"/>
        </w:rPr>
        <w:t>Together, these elements produced a reward landscape that captured realistic cost–time trade-offs while remaining learnable.</w:t>
      </w:r>
    </w:p>
    <w:p w14:paraId="790863D8" w14:textId="397771F4" w:rsidR="00CA638C" w:rsidRDefault="00CA638C" w:rsidP="00CA638C">
      <w:pPr>
        <w:rPr>
          <w:sz w:val="28"/>
          <w:szCs w:val="28"/>
          <w:lang w:val="en-US"/>
        </w:rPr>
      </w:pPr>
      <w:r>
        <w:rPr>
          <w:sz w:val="28"/>
          <w:szCs w:val="28"/>
          <w:lang w:val="en-US"/>
        </w:rPr>
        <w:t>Proximal Policy Optimization</w:t>
      </w:r>
    </w:p>
    <w:p w14:paraId="42633438" w14:textId="77777777" w:rsidR="00CA638C" w:rsidRPr="00CA638C" w:rsidRDefault="00CA638C" w:rsidP="00CA638C">
      <w:pPr>
        <w:rPr>
          <w:lang w:val="en-US"/>
        </w:rPr>
      </w:pPr>
      <w:r w:rsidRPr="00CA638C">
        <w:rPr>
          <w:lang w:val="en-US"/>
        </w:rPr>
        <w:t xml:space="preserve">Training employed </w:t>
      </w:r>
      <w:r w:rsidRPr="00CA638C">
        <w:rPr>
          <w:b/>
          <w:bCs/>
          <w:lang w:val="en-US"/>
        </w:rPr>
        <w:t>Proximal Policy Optimisation (PPO)</w:t>
      </w:r>
      <w:r w:rsidRPr="00CA638C">
        <w:rPr>
          <w:lang w:val="en-US"/>
        </w:rPr>
        <w:t xml:space="preserve"> {CITATION NEEDED}, implemented via the Stable-Baselines3 library {CITATION NEEDED}. No modifications were made to the algorithm itself.</w:t>
      </w:r>
    </w:p>
    <w:p w14:paraId="72D7167E" w14:textId="77777777" w:rsidR="00CA638C" w:rsidRPr="00CA638C" w:rsidRDefault="00CA638C" w:rsidP="00CA638C">
      <w:pPr>
        <w:rPr>
          <w:lang w:val="en-US"/>
        </w:rPr>
      </w:pPr>
      <w:r w:rsidRPr="00CA638C">
        <w:rPr>
          <w:lang w:val="en-US"/>
        </w:rPr>
        <w:t>The clipped surrogate objective {CITATION NEEDED} is defined as:</w:t>
      </w:r>
    </w:p>
    <w:p w14:paraId="6F650B72" w14:textId="576D3C2B" w:rsidR="00CA638C" w:rsidRPr="00CA638C" w:rsidRDefault="00CA638C" w:rsidP="00CA638C">
      <w:pPr>
        <w:rPr>
          <w:lang w:val="en-US"/>
        </w:rPr>
      </w:pPr>
      <w:r w:rsidRPr="00CA638C">
        <w:rPr>
          <w:lang w:val="en-US"/>
        </w:rPr>
        <w:drawing>
          <wp:inline distT="0" distB="0" distL="0" distR="0" wp14:anchorId="14AA25ED" wp14:editId="66721094">
            <wp:extent cx="5943600" cy="3529330"/>
            <wp:effectExtent l="0" t="0" r="0" b="0"/>
            <wp:docPr id="195768216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2166" name="Picture 1" descr="A black screen with white text&#10;&#10;AI-generated content may be incorrect."/>
                    <pic:cNvPicPr/>
                  </pic:nvPicPr>
                  <pic:blipFill>
                    <a:blip r:embed="rId14"/>
                    <a:stretch>
                      <a:fillRect/>
                    </a:stretch>
                  </pic:blipFill>
                  <pic:spPr>
                    <a:xfrm>
                      <a:off x="0" y="0"/>
                      <a:ext cx="5943600" cy="3529330"/>
                    </a:xfrm>
                    <a:prstGeom prst="rect">
                      <a:avLst/>
                    </a:prstGeom>
                  </pic:spPr>
                </pic:pic>
              </a:graphicData>
            </a:graphic>
          </wp:inline>
        </w:drawing>
      </w:r>
    </w:p>
    <w:p w14:paraId="3DB1D917" w14:textId="550C26F1" w:rsidR="009A4541" w:rsidRPr="00CA638C" w:rsidRDefault="00CA638C" w:rsidP="00CA638C">
      <w:pPr>
        <w:rPr>
          <w:lang w:val="en-US"/>
        </w:rPr>
      </w:pPr>
      <w:r w:rsidRPr="00CA638C">
        <w:t xml:space="preserve">While PPO provided the policy optimisation framework, our contribution lay in </w:t>
      </w:r>
      <w:r w:rsidRPr="00CA638C">
        <w:rPr>
          <w:b/>
          <w:bCs/>
        </w:rPr>
        <w:t>the custom environment, reward shaping, and evaluation design</w:t>
      </w:r>
      <w:r w:rsidRPr="00CA638C">
        <w:t>, rather than in modifications to the algorithm. The PPO training loop is shown in Fig. 5</w:t>
      </w:r>
    </w:p>
    <w:p w14:paraId="7C9F752F" w14:textId="77777777" w:rsidR="009A4541" w:rsidRDefault="009A4541" w:rsidP="009A4541">
      <w:pPr>
        <w:rPr>
          <w:lang w:val="en-US"/>
        </w:rPr>
      </w:pPr>
    </w:p>
    <w:p w14:paraId="0516B3CF" w14:textId="77777777" w:rsidR="009A4541" w:rsidRPr="009A4541" w:rsidRDefault="009A4541" w:rsidP="009A4541">
      <w:pPr>
        <w:rPr>
          <w:lang w:val="en-US"/>
        </w:rPr>
      </w:pPr>
    </w:p>
    <w:p w14:paraId="12D0698B" w14:textId="77777777" w:rsidR="00814DCF" w:rsidRPr="00814DCF" w:rsidRDefault="00814DCF" w:rsidP="00814DCF">
      <w:pPr>
        <w:rPr>
          <w:lang w:val="en-US"/>
        </w:rPr>
      </w:pPr>
    </w:p>
    <w:sectPr w:rsidR="00814DCF" w:rsidRPr="0081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2312C"/>
    <w:multiLevelType w:val="multilevel"/>
    <w:tmpl w:val="34F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03DC2"/>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E744D"/>
    <w:multiLevelType w:val="multilevel"/>
    <w:tmpl w:val="01D0FBE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539138">
    <w:abstractNumId w:val="0"/>
  </w:num>
  <w:num w:numId="2" w16cid:durableId="225603934">
    <w:abstractNumId w:val="1"/>
  </w:num>
  <w:num w:numId="3" w16cid:durableId="209670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8A"/>
    <w:rsid w:val="001A7245"/>
    <w:rsid w:val="004839CF"/>
    <w:rsid w:val="004C1495"/>
    <w:rsid w:val="00814DCF"/>
    <w:rsid w:val="00846430"/>
    <w:rsid w:val="0086390C"/>
    <w:rsid w:val="009A4541"/>
    <w:rsid w:val="009C649D"/>
    <w:rsid w:val="00B06012"/>
    <w:rsid w:val="00B26A67"/>
    <w:rsid w:val="00B7158A"/>
    <w:rsid w:val="00CA638C"/>
    <w:rsid w:val="00E0678D"/>
    <w:rsid w:val="00ED5B6E"/>
    <w:rsid w:val="00F04779"/>
    <w:rsid w:val="00F123CF"/>
    <w:rsid w:val="00F40F34"/>
    <w:rsid w:val="00FD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15BA"/>
  <w15:chartTrackingRefBased/>
  <w15:docId w15:val="{4D45C8F2-9C9C-47C4-A1EC-C0DB731B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8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7158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7158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7158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7158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7158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7158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7158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7158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7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8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71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58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7158A"/>
    <w:pPr>
      <w:spacing w:before="160"/>
      <w:jc w:val="center"/>
    </w:pPr>
    <w:rPr>
      <w:i/>
      <w:iCs/>
      <w:color w:val="404040" w:themeColor="text1" w:themeTint="BF"/>
    </w:rPr>
  </w:style>
  <w:style w:type="character" w:customStyle="1" w:styleId="QuoteChar">
    <w:name w:val="Quote Char"/>
    <w:basedOn w:val="DefaultParagraphFont"/>
    <w:link w:val="Quote"/>
    <w:uiPriority w:val="29"/>
    <w:rsid w:val="00B7158A"/>
    <w:rPr>
      <w:i/>
      <w:iCs/>
      <w:color w:val="404040" w:themeColor="text1" w:themeTint="BF"/>
      <w:lang w:val="en-GB"/>
    </w:rPr>
  </w:style>
  <w:style w:type="paragraph" w:styleId="ListParagraph">
    <w:name w:val="List Paragraph"/>
    <w:basedOn w:val="Normal"/>
    <w:uiPriority w:val="34"/>
    <w:qFormat/>
    <w:rsid w:val="00B7158A"/>
    <w:pPr>
      <w:ind w:left="720"/>
      <w:contextualSpacing/>
    </w:pPr>
  </w:style>
  <w:style w:type="character" w:styleId="IntenseEmphasis">
    <w:name w:val="Intense Emphasis"/>
    <w:basedOn w:val="DefaultParagraphFont"/>
    <w:uiPriority w:val="21"/>
    <w:qFormat/>
    <w:rsid w:val="00B7158A"/>
    <w:rPr>
      <w:i/>
      <w:iCs/>
      <w:color w:val="0F4761" w:themeColor="accent1" w:themeShade="BF"/>
    </w:rPr>
  </w:style>
  <w:style w:type="paragraph" w:styleId="IntenseQuote">
    <w:name w:val="Intense Quote"/>
    <w:basedOn w:val="Normal"/>
    <w:next w:val="Normal"/>
    <w:link w:val="IntenseQuoteChar"/>
    <w:uiPriority w:val="30"/>
    <w:qFormat/>
    <w:rsid w:val="00B7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58A"/>
    <w:rPr>
      <w:i/>
      <w:iCs/>
      <w:color w:val="0F4761" w:themeColor="accent1" w:themeShade="BF"/>
      <w:lang w:val="en-GB"/>
    </w:rPr>
  </w:style>
  <w:style w:type="character" w:styleId="IntenseReference">
    <w:name w:val="Intense Reference"/>
    <w:basedOn w:val="DefaultParagraphFont"/>
    <w:uiPriority w:val="32"/>
    <w:qFormat/>
    <w:rsid w:val="00B7158A"/>
    <w:rPr>
      <w:b/>
      <w:bCs/>
      <w:smallCaps/>
      <w:color w:val="0F4761" w:themeColor="accent1" w:themeShade="BF"/>
      <w:spacing w:val="5"/>
    </w:rPr>
  </w:style>
  <w:style w:type="paragraph" w:styleId="Caption">
    <w:name w:val="caption"/>
    <w:basedOn w:val="Normal"/>
    <w:next w:val="Normal"/>
    <w:uiPriority w:val="35"/>
    <w:unhideWhenUsed/>
    <w:qFormat/>
    <w:rsid w:val="0086390C"/>
    <w:pPr>
      <w:spacing w:after="200" w:line="240" w:lineRule="auto"/>
    </w:pPr>
    <w:rPr>
      <w:i/>
      <w:iCs/>
      <w:color w:val="0E2841" w:themeColor="text2"/>
      <w:sz w:val="18"/>
      <w:szCs w:val="18"/>
    </w:rPr>
  </w:style>
  <w:style w:type="table" w:styleId="TableGrid">
    <w:name w:val="Table Grid"/>
    <w:basedOn w:val="TableNormal"/>
    <w:uiPriority w:val="39"/>
    <w:rsid w:val="00E0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638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81F48DE29674ABFDB75B0D1582D74" ma:contentTypeVersion="18" ma:contentTypeDescription="Create a new document." ma:contentTypeScope="" ma:versionID="47699fdb42ef205558c24582c9ce52db">
  <xsd:schema xmlns:xsd="http://www.w3.org/2001/XMLSchema" xmlns:xs="http://www.w3.org/2001/XMLSchema" xmlns:p="http://schemas.microsoft.com/office/2006/metadata/properties" xmlns:ns3="3b03904e-7265-4393-9dfb-4a17c552b135" xmlns:ns4="b987dfae-b50c-4bed-8e8d-584b37f7e509" targetNamespace="http://schemas.microsoft.com/office/2006/metadata/properties" ma:root="true" ma:fieldsID="e3152d3a7576ca1908b75269390602be" ns3:_="" ns4:_="">
    <xsd:import namespace="3b03904e-7265-4393-9dfb-4a17c552b135"/>
    <xsd:import namespace="b987dfae-b50c-4bed-8e8d-584b37f7e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3904e-7265-4393-9dfb-4a17c552b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87dfae-b50c-4bed-8e8d-584b37f7e5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03904e-7265-4393-9dfb-4a17c552b135" xsi:nil="true"/>
  </documentManagement>
</p:properties>
</file>

<file path=customXml/itemProps1.xml><?xml version="1.0" encoding="utf-8"?>
<ds:datastoreItem xmlns:ds="http://schemas.openxmlformats.org/officeDocument/2006/customXml" ds:itemID="{A781CAE9-5D73-4914-B479-2CA8CA10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3904e-7265-4393-9dfb-4a17c552b135"/>
    <ds:schemaRef ds:uri="b987dfae-b50c-4bed-8e8d-584b37f7e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1FA99-4F88-418B-9B23-8D562F5F60A2}">
  <ds:schemaRefs>
    <ds:schemaRef ds:uri="http://schemas.microsoft.com/sharepoint/v3/contenttype/forms"/>
  </ds:schemaRefs>
</ds:datastoreItem>
</file>

<file path=customXml/itemProps3.xml><?xml version="1.0" encoding="utf-8"?>
<ds:datastoreItem xmlns:ds="http://schemas.openxmlformats.org/officeDocument/2006/customXml" ds:itemID="{7E6BDDDC-EC85-43E8-A2C1-D944C31ADC48}">
  <ds:schemaRefs>
    <ds:schemaRef ds:uri="http://schemas.microsoft.com/office/2006/metadata/properties"/>
    <ds:schemaRef ds:uri="http://schemas.microsoft.com/office/infopath/2007/PartnerControls"/>
    <ds:schemaRef ds:uri="3b03904e-7265-4393-9dfb-4a17c552b135"/>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881</Words>
  <Characters>5630</Characters>
  <Application>Microsoft Office Word</Application>
  <DocSecurity>0</DocSecurity>
  <Lines>140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Shaherawala</dc:creator>
  <cp:keywords/>
  <dc:description/>
  <cp:lastModifiedBy>Hatim Shaherawala (Student)</cp:lastModifiedBy>
  <cp:revision>7</cp:revision>
  <dcterms:created xsi:type="dcterms:W3CDTF">2025-09-02T15:45:00Z</dcterms:created>
  <dcterms:modified xsi:type="dcterms:W3CDTF">2025-09-02T18:17:00Z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0x0101005E981F48DE29674ABFDB75B0D1582D74</vt:lpwstr>
  </property>
</Properties>
</file>