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75B6"/>
          <w:sz w:val="56"/>
          <w:szCs w:val="56"/>
        </w:rPr>
        <w:t xml:space="preserve">EXPERIMENT-FIRST</w:t>
      </w:r>
    </w:p>
    <w:p>
      <w:pPr>
        <w:spacing w:after="100"/>
        <w:jc w:val="center"/>
      </w:pPr>
      <w:r>
        <w:rPr>
          <w:rFonts w:ascii="Arial" w:cs="Arial" w:eastAsia="Arial" w:hAnsi="Arial"/>
          <w:b/>
          <w:bCs/>
          <w:color w:val="2E75B6"/>
          <w:sz w:val="56"/>
          <w:szCs w:val="56"/>
        </w:rPr>
        <w:t xml:space="preserve">SCIENCE CURRICULUM</w:t>
      </w:r>
    </w:p>
    <w:p>
      <w:pPr>
        <w:pBdr>
          <w:bottom w:val="single" w:color="2E75B6" w:sz="6" w:space="8"/>
        </w:pBdr>
        <w:spacing w:after="600"/>
        <w:jc w:val="center"/>
      </w:pPr>
      <w:r>
        <w:rPr>
          <w:rFonts w:ascii="Arial" w:cs="Arial" w:eastAsia="Arial" w:hAnsi="Arial"/>
          <w:color w:val="1A1A2E"/>
          <w:sz w:val="28"/>
          <w:szCs w:val="28"/>
        </w:rPr>
        <w:t xml:space="preserve">Curriculum Design Specification</w:t>
      </w:r>
    </w:p>
    <w:p>
      <w:pPr>
        <w:spacing w:after="400"/>
      </w:pPr>
    </w:p>
    <w:p>
      <w:pPr>
        <w:spacing w:after="120"/>
        <w:jc w:val="center"/>
      </w:pPr>
      <w:r>
        <w:rPr>
          <w:rFonts w:ascii="Arial" w:cs="Arial" w:eastAsia="Arial" w:hAnsi="Arial"/>
          <w:color w:val="1A1A2E"/>
          <w:sz w:val="24"/>
          <w:szCs w:val="24"/>
        </w:rPr>
        <w:t xml:space="preserve">Target Learner: 16-year-old with ADHD</w:t>
      </w:r>
    </w:p>
    <w:p>
      <w:pPr>
        <w:spacing w:after="120"/>
        <w:jc w:val="center"/>
      </w:pPr>
      <w:r>
        <w:rPr>
          <w:rFonts w:ascii="Arial" w:cs="Arial" w:eastAsia="Arial" w:hAnsi="Arial"/>
          <w:color w:val="1A1A2E"/>
          <w:sz w:val="24"/>
          <w:szCs w:val="24"/>
        </w:rPr>
        <w:t xml:space="preserve">Scope: High School Physics, Chemistry, Biology, Earth &amp; Space Science</w:t>
      </w:r>
    </w:p>
    <w:p>
      <w:pPr>
        <w:spacing w:after="120"/>
        <w:jc w:val="center"/>
      </w:pPr>
      <w:r>
        <w:rPr>
          <w:rFonts w:ascii="Arial" w:cs="Arial" w:eastAsia="Arial" w:hAnsi="Arial"/>
          <w:color w:val="1A1A2E"/>
          <w:sz w:val="24"/>
          <w:szCs w:val="24"/>
        </w:rPr>
        <w:t xml:space="preserve">Version: 0.1 — Draft for Refinement</w:t>
      </w:r>
    </w:p>
    <w:p>
      <w:pPr>
        <w:spacing w:after="120"/>
        <w:jc w:val="center"/>
      </w:pPr>
      <w:r>
        <w:rPr>
          <w:rFonts w:ascii="Arial" w:cs="Arial" w:eastAsia="Arial" w:hAnsi="Arial"/>
          <w:color w:val="1A1A2E"/>
          <w:sz w:val="24"/>
          <w:szCs w:val="24"/>
        </w:rPr>
        <w:t xml:space="preserve">March 2026</w:t>
      </w:r>
    </w:p>
    <w:p>
      <w:pPr>
        <w:sectPr>
          <w:pgSz w:w="12240" w:h="15840" w:orient="portrait"/>
          <w:pgMar w:top="4320" w:right="1440" w:bottom="1440" w:left="1440" w:header="708" w:footer="708" w:gutter="0"/>
          <w:pgNumType/>
          <w:docGrid w:linePitch="360"/>
        </w:sectPr>
      </w:pPr>
    </w:p>
    <w:p>
      <w:pPr>
        <w:pStyle w:val="Heading1"/>
      </w:pPr>
      <w:r>
        <w:t xml:space="preserve">1. Design Philosophy</w:t>
      </w:r>
    </w:p>
    <w:p>
      <w:pPr>
        <w:spacing w:after="120" w:line="276"/>
      </w:pPr>
      <w:r>
        <w:rPr>
          <w:rFonts w:ascii="Arial" w:cs="Arial" w:eastAsia="Arial" w:hAnsi="Arial"/>
          <w:color w:val="1A1A2E"/>
          <w:sz w:val="22"/>
          <w:szCs w:val="22"/>
        </w:rPr>
        <w:t xml:space="preserve">This curriculum inverts the traditional sequence. Instead of definition → explanation → example → lab, every unit follows the pattern: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200"/>
              <w:left w:type="dxa" w:w="400"/>
              <w:bottom w:type="dxa" w:w="200"/>
              <w:right w:type="dxa" w:w="400"/>
            </w:tcMar>
          </w:tcPr>
          <w:p>
            <w:pPr>
              <w:spacing w:after="80"/>
              <w:jc w:val="center"/>
            </w:pPr>
            <w:r>
              <w:rPr>
                <w:rFonts w:ascii="Arial" w:cs="Arial" w:eastAsia="Arial" w:hAnsi="Arial"/>
                <w:b/>
                <w:bCs/>
                <w:color w:val="2E75B6"/>
                <w:sz w:val="24"/>
                <w:szCs w:val="24"/>
              </w:rPr>
              <w:t xml:space="preserve">Phenomenon  →  Experiment  →  Observation  →  Terminology  →  Framework</w:t>
            </w:r>
          </w:p>
          <w:p>
            <w:pPr>
              <w:jc w:val="center"/>
            </w:pPr>
            <w:r>
              <w:rPr>
                <w:rFonts w:ascii="Arial" w:cs="Arial" w:eastAsia="Arial" w:hAnsi="Arial"/>
                <w:i/>
                <w:iCs/>
                <w:color w:val="1A1A2E"/>
                <w:sz w:val="20"/>
                <w:szCs w:val="20"/>
              </w:rPr>
              <w:t xml:space="preserve">The student encounters the science before they encounter the word for it.</w:t>
            </w:r>
          </w:p>
        </w:tc>
      </w:tr>
    </w:tbl>
    <w:p>
      <w:pPr>
        <w:spacing w:after="120"/>
      </w:pPr>
    </w:p>
    <w:p>
      <w:pPr>
        <w:pStyle w:val="Heading2"/>
      </w:pPr>
      <w:r>
        <w:t xml:space="preserve">1.1 Core Principles</w:t>
      </w:r>
    </w:p>
    <w:p>
      <w:pPr>
        <w:pStyle w:val="ListParagraph"/>
        <w:numPr>
          <w:ilvl w:val="0"/>
          <w:numId w:val="2"/>
        </w:numPr>
        <w:spacing w:after="80" w:line="276"/>
      </w:pPr>
      <w:r>
        <w:rPr>
          <w:rFonts w:ascii="Arial" w:cs="Arial" w:eastAsia="Arial" w:hAnsi="Arial"/>
          <w:b/>
          <w:bCs/>
          <w:color w:val="1A1A2E"/>
          <w:sz w:val="22"/>
          <w:szCs w:val="22"/>
        </w:rPr>
        <w:t xml:space="preserve">Experiment-first, always. </w:t>
      </w:r>
      <w:r>
        <w:rPr>
          <w:rFonts w:ascii="Arial" w:cs="Arial" w:eastAsia="Arial" w:hAnsi="Arial"/>
          <w:color w:val="1A1A2E"/>
          <w:sz w:val="22"/>
          <w:szCs w:val="22"/>
        </w:rPr>
        <w:t xml:space="preserve">No concept is introduced until the student has physically observed the phenomenon it describes. Vocabulary arrives at the moment of relevance, not before.</w:t>
      </w:r>
    </w:p>
    <w:p>
      <w:pPr>
        <w:pStyle w:val="ListParagraph"/>
        <w:numPr>
          <w:ilvl w:val="0"/>
          <w:numId w:val="2"/>
        </w:numPr>
        <w:spacing w:after="80" w:line="276"/>
      </w:pPr>
      <w:r>
        <w:rPr>
          <w:rFonts w:ascii="Arial" w:cs="Arial" w:eastAsia="Arial" w:hAnsi="Arial"/>
          <w:b/>
          <w:bCs/>
          <w:color w:val="1A1A2E"/>
          <w:sz w:val="22"/>
          <w:szCs w:val="22"/>
        </w:rPr>
        <w:t xml:space="preserve">Precise scientific language, never simplified. </w:t>
      </w:r>
      <w:r>
        <w:rPr>
          <w:rFonts w:ascii="Arial" w:cs="Arial" w:eastAsia="Arial" w:hAnsi="Arial"/>
          <w:color w:val="1A1A2E"/>
          <w:sz w:val="22"/>
          <w:szCs w:val="22"/>
        </w:rPr>
        <w:t xml:space="preserve">Use the correct term from the first encounter. It is “oxidation,” not “the metal breaking down.” It is “homeostasis,” not “staying the same.” The term is taught through the experience, not replaced with a colloquial approximation.</w:t>
      </w:r>
    </w:p>
    <w:p>
      <w:pPr>
        <w:pStyle w:val="ListParagraph"/>
        <w:numPr>
          <w:ilvl w:val="0"/>
          <w:numId w:val="2"/>
        </w:numPr>
        <w:spacing w:after="80" w:line="276"/>
      </w:pPr>
      <w:r>
        <w:rPr>
          <w:rFonts w:ascii="Arial" w:cs="Arial" w:eastAsia="Arial" w:hAnsi="Arial"/>
          <w:b/>
          <w:bCs/>
          <w:color w:val="1A1A2E"/>
          <w:sz w:val="22"/>
          <w:szCs w:val="22"/>
        </w:rPr>
        <w:t xml:space="preserve">Short cycles with immediate payoff. </w:t>
      </w:r>
      <w:r>
        <w:rPr>
          <w:rFonts w:ascii="Arial" w:cs="Arial" w:eastAsia="Arial" w:hAnsi="Arial"/>
          <w:color w:val="1A1A2E"/>
          <w:sz w:val="22"/>
          <w:szCs w:val="22"/>
        </w:rPr>
        <w:t xml:space="preserve">Each module is completable in 25–40 minutes. The observation-to-understanding arc closes within a single session. No multi-day buildups before the student sees a result.</w:t>
      </w:r>
    </w:p>
    <w:p>
      <w:pPr>
        <w:pStyle w:val="ListParagraph"/>
        <w:numPr>
          <w:ilvl w:val="0"/>
          <w:numId w:val="2"/>
        </w:numPr>
        <w:spacing w:after="80" w:line="276"/>
      </w:pPr>
      <w:r>
        <w:rPr>
          <w:rFonts w:ascii="Arial" w:cs="Arial" w:eastAsia="Arial" w:hAnsi="Arial"/>
          <w:b/>
          <w:bCs/>
          <w:color w:val="1A1A2E"/>
          <w:sz w:val="22"/>
          <w:szCs w:val="22"/>
        </w:rPr>
        <w:t xml:space="preserve">Interleaved subjects. </w:t>
      </w:r>
      <w:r>
        <w:rPr>
          <w:rFonts w:ascii="Arial" w:cs="Arial" w:eastAsia="Arial" w:hAnsi="Arial"/>
          <w:color w:val="1A1A2E"/>
          <w:sz w:val="22"/>
          <w:szCs w:val="22"/>
        </w:rPr>
        <w:t xml:space="preserve">Physics, chemistry, and biology rotate rather than running in isolated blocks. This combats habituation and builds cross-disciplinary pattern recognition.</w:t>
      </w:r>
    </w:p>
    <w:p>
      <w:pPr>
        <w:pStyle w:val="ListParagraph"/>
        <w:numPr>
          <w:ilvl w:val="0"/>
          <w:numId w:val="2"/>
        </w:numPr>
        <w:spacing w:after="80" w:line="276"/>
      </w:pPr>
      <w:r>
        <w:rPr>
          <w:rFonts w:ascii="Arial" w:cs="Arial" w:eastAsia="Arial" w:hAnsi="Arial"/>
          <w:b/>
          <w:bCs/>
          <w:color w:val="1A1A2E"/>
          <w:sz w:val="22"/>
          <w:szCs w:val="22"/>
        </w:rPr>
        <w:t xml:space="preserve">The scientific method is taught by doing, not by lecture. </w:t>
      </w:r>
      <w:r>
        <w:rPr>
          <w:rFonts w:ascii="Arial" w:cs="Arial" w:eastAsia="Arial" w:hAnsi="Arial"/>
          <w:color w:val="1A1A2E"/>
          <w:sz w:val="22"/>
          <w:szCs w:val="22"/>
        </w:rPr>
        <w:t xml:space="preserve">Methodological concepts (hypothesis formulation, variable isolation, controlled experimentation) are introduced through embedded scaffolding within experiments, not as a prerequisite unit.</w:t>
      </w:r>
    </w:p>
    <w:p>
      <w:pPr>
        <w:pStyle w:val="ListParagraph"/>
        <w:numPr>
          <w:ilvl w:val="0"/>
          <w:numId w:val="2"/>
        </w:numPr>
        <w:spacing w:after="80" w:line="276"/>
      </w:pPr>
      <w:r>
        <w:rPr>
          <w:rFonts w:ascii="Arial" w:cs="Arial" w:eastAsia="Arial" w:hAnsi="Arial"/>
          <w:b/>
          <w:bCs/>
          <w:color w:val="1A1A2E"/>
          <w:sz w:val="22"/>
          <w:szCs w:val="22"/>
        </w:rPr>
        <w:t xml:space="preserve">Counterintuitive results are the hook. </w:t>
      </w:r>
      <w:r>
        <w:rPr>
          <w:rFonts w:ascii="Arial" w:cs="Arial" w:eastAsia="Arial" w:hAnsi="Arial"/>
          <w:color w:val="1A1A2E"/>
          <w:sz w:val="22"/>
          <w:szCs w:val="22"/>
        </w:rPr>
        <w:t xml:space="preserve">Every experiment should produce at least one result that surprises, contradicts intuition, or raises a new question. The cognitive dissonance is the engine of engagement.</w:t>
      </w:r>
    </w:p>
    <w:p>
      <w:pPr>
        <w:pStyle w:val="Heading1"/>
      </w:pPr>
      <w:r>
        <w:t xml:space="preserve">2. Module Anatomy</w:t>
      </w:r>
    </w:p>
    <w:p>
      <w:pPr>
        <w:spacing w:after="120" w:line="276"/>
      </w:pPr>
      <w:r>
        <w:rPr>
          <w:rFonts w:ascii="Arial" w:cs="Arial" w:eastAsia="Arial" w:hAnsi="Arial"/>
          <w:color w:val="1A1A2E"/>
          <w:sz w:val="22"/>
          <w:szCs w:val="22"/>
        </w:rPr>
        <w:t xml:space="preserve">Every module follows an identical structure. This predictability is deliberate — for an ADHD learner, knowing what comes next reduces executive function overhead and lets cognitive resources go toward the science itself.</w:t>
      </w:r>
    </w:p>
    <w:p>
      <w:pPr>
        <w:pStyle w:val="Heading2"/>
      </w:pPr>
      <w:r>
        <w:t xml:space="preserve">2.1 Module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Module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Framed as a question (e.g., “Can you generate electricity from fruit?”)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Phenomenon Hook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 1–2 sentence scenario, image, or demonstration that creates curiosity or cognitive dissonance. No terminology yet.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Materials List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Everything needed, with common household substitutions noted. Target: items available at a grocery store or online for under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The Experiment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Step-by-step procedure. Written in imperative voice. Each step includes what to observe and what to record. Precise scientific terminology is introduced at the moment of observation.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Method Sidebar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Runs parallel to the experiment. Names the methodological step the student is performing (e.g., “You just formulated a hypothesis”). See Section 4 for the scaffolding progression.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Key Terminology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3–5 terms introduced during this module, each anchored to a specific observation. Format: Term — definition — “see step 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Challenge 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 extension question or modification to the experiment. Student predicts the outcome, then tests it. Designed to extend engagement for students who finish early or want more.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Framework Connection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 brief (2–3 sentence) explanation of how this experiment connects to the larger scientific framework. This is the only section that provides “textbook” context, and it comes last.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Glossary Entry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Pre-formatted entry for the student’s living glossary (see Section 5).</w:t>
            </w:r>
          </w:p>
        </w:tc>
      </w:tr>
    </w:tbl>
    <w:p>
      <w:pPr>
        <w:spacing w:after="120"/>
      </w:pPr>
    </w:p>
    <w:p>
      <w:pPr>
        <w:pStyle w:val="Heading2"/>
      </w:pPr>
      <w:r>
        <w:t xml:space="preserve">2.2 Constraints</w:t>
      </w:r>
    </w:p>
    <w:p>
      <w:pPr>
        <w:pStyle w:val="ListParagraph"/>
        <w:numPr>
          <w:ilvl w:val="0"/>
          <w:numId w:val="3"/>
        </w:numPr>
        <w:spacing w:after="80" w:line="276"/>
      </w:pPr>
      <w:r>
        <w:rPr>
          <w:rFonts w:ascii="Arial" w:cs="Arial" w:eastAsia="Arial" w:hAnsi="Arial"/>
          <w:b/>
          <w:bCs/>
          <w:color w:val="1A1A2E"/>
          <w:sz w:val="22"/>
          <w:szCs w:val="22"/>
        </w:rPr>
        <w:t xml:space="preserve">Time: </w:t>
      </w:r>
      <w:r>
        <w:rPr>
          <w:rFonts w:ascii="Arial" w:cs="Arial" w:eastAsia="Arial" w:hAnsi="Arial"/>
          <w:color w:val="1A1A2E"/>
          <w:sz w:val="22"/>
          <w:szCs w:val="22"/>
        </w:rPr>
        <w:t xml:space="preserve">25–40 minutes for the core experiment. Challenge Mode may add 10–15 minutes.</w:t>
      </w:r>
    </w:p>
    <w:p>
      <w:pPr>
        <w:pStyle w:val="ListParagraph"/>
        <w:numPr>
          <w:ilvl w:val="0"/>
          <w:numId w:val="3"/>
        </w:numPr>
        <w:spacing w:after="80" w:line="276"/>
      </w:pPr>
      <w:r>
        <w:rPr>
          <w:rFonts w:ascii="Arial" w:cs="Arial" w:eastAsia="Arial" w:hAnsi="Arial"/>
          <w:b/>
          <w:bCs/>
          <w:color w:val="1A1A2E"/>
          <w:sz w:val="22"/>
          <w:szCs w:val="22"/>
        </w:rPr>
        <w:t xml:space="preserve">Terminology: </w:t>
      </w:r>
      <w:r>
        <w:rPr>
          <w:rFonts w:ascii="Arial" w:cs="Arial" w:eastAsia="Arial" w:hAnsi="Arial"/>
          <w:color w:val="1A1A2E"/>
          <w:sz w:val="22"/>
          <w:szCs w:val="22"/>
        </w:rPr>
        <w:t xml:space="preserve">3–5 new terms per module. No more. Cognitive load must be managed.</w:t>
      </w:r>
    </w:p>
    <w:p>
      <w:pPr>
        <w:pStyle w:val="ListParagraph"/>
        <w:numPr>
          <w:ilvl w:val="0"/>
          <w:numId w:val="3"/>
        </w:numPr>
        <w:spacing w:after="80" w:line="276"/>
      </w:pPr>
      <w:r>
        <w:rPr>
          <w:rFonts w:ascii="Arial" w:cs="Arial" w:eastAsia="Arial" w:hAnsi="Arial"/>
          <w:b/>
          <w:bCs/>
          <w:color w:val="1A1A2E"/>
          <w:sz w:val="22"/>
          <w:szCs w:val="22"/>
        </w:rPr>
        <w:t xml:space="preserve">Materials cost: </w:t>
      </w:r>
      <w:r>
        <w:rPr>
          <w:rFonts w:ascii="Arial" w:cs="Arial" w:eastAsia="Arial" w:hAnsi="Arial"/>
          <w:color w:val="1A1A2E"/>
          <w:sz w:val="22"/>
          <w:szCs w:val="22"/>
        </w:rPr>
        <w:t xml:space="preserve">Under $20 per module, with most modules under $10. Common household items preferred.</w:t>
      </w:r>
    </w:p>
    <w:p>
      <w:pPr>
        <w:pStyle w:val="ListParagraph"/>
        <w:numPr>
          <w:ilvl w:val="0"/>
          <w:numId w:val="3"/>
        </w:numPr>
        <w:spacing w:after="80" w:line="276"/>
      </w:pPr>
      <w:r>
        <w:rPr>
          <w:rFonts w:ascii="Arial" w:cs="Arial" w:eastAsia="Arial" w:hAnsi="Arial"/>
          <w:b/>
          <w:bCs/>
          <w:color w:val="1A1A2E"/>
          <w:sz w:val="22"/>
          <w:szCs w:val="22"/>
        </w:rPr>
        <w:t xml:space="preserve">Safety: </w:t>
      </w:r>
      <w:r>
        <w:rPr>
          <w:rFonts w:ascii="Arial" w:cs="Arial" w:eastAsia="Arial" w:hAnsi="Arial"/>
          <w:color w:val="1A1A2E"/>
          <w:sz w:val="22"/>
          <w:szCs w:val="22"/>
        </w:rPr>
        <w:t xml:space="preserve">Every module includes a safety note where relevant. Adult supervision requirements are flagged explicitly.</w:t>
      </w:r>
    </w:p>
    <w:p>
      <w:pPr>
        <w:pStyle w:val="ListParagraph"/>
        <w:numPr>
          <w:ilvl w:val="0"/>
          <w:numId w:val="3"/>
        </w:numPr>
        <w:spacing w:after="80" w:line="276"/>
      </w:pPr>
      <w:r>
        <w:rPr>
          <w:rFonts w:ascii="Arial" w:cs="Arial" w:eastAsia="Arial" w:hAnsi="Arial"/>
          <w:b/>
          <w:bCs/>
          <w:color w:val="1A1A2E"/>
          <w:sz w:val="22"/>
          <w:szCs w:val="22"/>
        </w:rPr>
        <w:t xml:space="preserve">Prerequisite transparency: </w:t>
      </w:r>
      <w:r>
        <w:rPr>
          <w:rFonts w:ascii="Arial" w:cs="Arial" w:eastAsia="Arial" w:hAnsi="Arial"/>
          <w:color w:val="1A1A2E"/>
          <w:sz w:val="22"/>
          <w:szCs w:val="22"/>
        </w:rPr>
        <w:t xml:space="preserve">Every module lists which prior modules (if any) introduce terminology or concepts it builds on. No hidden dependencies.</w:t>
      </w:r>
    </w:p>
    <w:p>
      <w:pPr>
        <w:pStyle w:val="Heading1"/>
      </w:pPr>
      <w:r>
        <w:t xml:space="preserve">3. Language Policy</w:t>
      </w:r>
    </w:p>
    <w:p>
      <w:pPr>
        <w:spacing w:after="120" w:line="276"/>
      </w:pPr>
      <w:r>
        <w:rPr>
          <w:rFonts w:ascii="Arial" w:cs="Arial" w:eastAsia="Arial" w:hAnsi="Arial"/>
          <w:color w:val="1A1A2E"/>
          <w:sz w:val="22"/>
          <w:szCs w:val="22"/>
        </w:rPr>
        <w:t xml:space="preserve">This section exists because it is the single most important design decision in this curriculum. The language policy affects every sentence of every module.</w:t>
      </w:r>
    </w:p>
    <w:p>
      <w:pPr>
        <w:pStyle w:val="Heading2"/>
      </w:pPr>
      <w:r>
        <w:t xml:space="preserve">3.1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200"/>
              <w:left w:type="dxa" w:w="400"/>
              <w:bottom w:type="dxa" w:w="200"/>
              <w:right w:type="dxa" w:w="400"/>
            </w:tcMar>
          </w:tcPr>
          <w:p>
            <w:pPr>
              <w:spacing w:after="60"/>
            </w:pPr>
            <w:r>
              <w:rPr>
                <w:rFonts w:ascii="Arial" w:cs="Arial" w:eastAsia="Arial" w:hAnsi="Arial"/>
                <w:b/>
                <w:bCs/>
                <w:color w:val="1A1A2E"/>
                <w:sz w:val="22"/>
                <w:szCs w:val="22"/>
              </w:rPr>
              <w:t xml:space="preserve">Always use the precise scientific term. Introduce it at the exact moment the student can observe what it refers to. Never substitute a colloquial approximation.</w:t>
            </w:r>
          </w:p>
        </w:tc>
      </w:tr>
    </w:tbl>
    <w:p>
      <w:pPr>
        <w:spacing w:after="80"/>
      </w:pPr>
    </w:p>
    <w:p>
      <w:pPr>
        <w:pStyle w:val="Heading2"/>
      </w:pPr>
      <w:r>
        <w:t xml:space="preserve">3.2 How It Works in Practice</w:t>
      </w:r>
    </w:p>
    <w:p>
      <w:pPr>
        <w:spacing w:after="100" w:before="200"/>
      </w:pPr>
      <w:r>
        <w:rPr>
          <w:rFonts w:ascii="Arial" w:cs="Arial" w:eastAsia="Arial" w:hAnsi="Arial"/>
          <w:b/>
          <w:bCs/>
          <w:color w:val="1A1A2E"/>
          <w:sz w:val="24"/>
          <w:szCs w:val="24"/>
        </w:rPr>
        <w:t xml:space="preserve">Correct approach:</w:t>
      </w:r>
    </w:p>
    <w:p>
      <w:pPr>
        <w:spacing w:after="120" w:line="276"/>
      </w:pPr>
      <w:r>
        <w:rPr>
          <w:rFonts w:ascii="Arial" w:cs="Arial" w:eastAsia="Arial" w:hAnsi="Arial"/>
          <w:i/>
          <w:iCs/>
          <w:color w:val="1A1A2E"/>
          <w:sz w:val="22"/>
          <w:szCs w:val="22"/>
        </w:rPr>
        <w:t xml:space="preserve">“See how the zinc strip is dissolving into the citric acid solution? That process is called </w:t>
      </w:r>
      <w:r>
        <w:rPr>
          <w:rFonts w:ascii="Arial" w:cs="Arial" w:eastAsia="Arial" w:hAnsi="Arial"/>
          <w:b/>
          <w:bCs/>
          <w:i/>
          <w:iCs/>
          <w:color w:val="1A1A2E"/>
          <w:sz w:val="22"/>
          <w:szCs w:val="22"/>
        </w:rPr>
        <w:t xml:space="preserve">oxidation</w:t>
      </w:r>
      <w:r>
        <w:rPr>
          <w:rFonts w:ascii="Arial" w:cs="Arial" w:eastAsia="Arial" w:hAnsi="Arial"/>
          <w:i/>
          <w:iCs/>
          <w:color w:val="1A1A2E"/>
          <w:sz w:val="22"/>
          <w:szCs w:val="22"/>
        </w:rPr>
        <w:t xml:space="preserve"> — the zinc atoms are losing electrons. The term originally described reactions with oxygen, but in chemistry it refers to any loss of electrons. Write it down: </w:t>
      </w:r>
      <w:r>
        <w:rPr>
          <w:rFonts w:ascii="Arial" w:cs="Arial" w:eastAsia="Arial" w:hAnsi="Arial"/>
          <w:b/>
          <w:bCs/>
          <w:i/>
          <w:iCs/>
          <w:color w:val="1A1A2E"/>
          <w:sz w:val="22"/>
          <w:szCs w:val="22"/>
        </w:rPr>
        <w:t xml:space="preserve">oxidation = loss of electrons.”</w:t>
      </w:r>
    </w:p>
    <w:p>
      <w:pPr>
        <w:spacing w:after="100" w:before="200"/>
      </w:pPr>
      <w:r>
        <w:rPr>
          <w:rFonts w:ascii="Arial" w:cs="Arial" w:eastAsia="Arial" w:hAnsi="Arial"/>
          <w:b/>
          <w:bCs/>
          <w:color w:val="1A1A2E"/>
          <w:sz w:val="24"/>
          <w:szCs w:val="24"/>
        </w:rPr>
        <w:t xml:space="preserve">Incorrect approach:</w:t>
      </w:r>
    </w:p>
    <w:p>
      <w:pPr>
        <w:spacing w:after="120" w:line="276"/>
      </w:pPr>
      <w:r>
        <w:rPr>
          <w:rFonts w:ascii="Arial" w:cs="Arial" w:eastAsia="Arial" w:hAnsi="Arial"/>
          <w:i/>
          <w:iCs/>
          <w:color w:val="1A1A2E"/>
          <w:sz w:val="22"/>
          <w:szCs w:val="22"/>
        </w:rPr>
        <w:t xml:space="preserve">“See how the zinc is breaking down? That’s because it’s reacting with the acid. Later you’ll learn this is called oxidation.”</w:t>
      </w:r>
    </w:p>
    <w:p>
      <w:pPr>
        <w:spacing w:after="60"/>
      </w:pPr>
    </w:p>
    <w:p>
      <w:pPr>
        <w:spacing w:after="120" w:line="276"/>
      </w:pPr>
      <w:r>
        <w:rPr>
          <w:rFonts w:ascii="Arial" w:cs="Arial" w:eastAsia="Arial" w:hAnsi="Arial"/>
          <w:color w:val="1A1A2E"/>
          <w:sz w:val="22"/>
          <w:szCs w:val="22"/>
        </w:rPr>
        <w:t xml:space="preserve">The second version defers the terminology, which means the student now has a colloquial mental model (“breaking down”) that will need to be overwritten later. The first version anchors the correct term to a physical observation in real time.</w:t>
      </w:r>
    </w:p>
    <w:p>
      <w:pPr>
        <w:pStyle w:val="Heading2"/>
      </w:pPr>
      <w:r>
        <w:t xml:space="preserve">3.3 Terminology Accumulation</w:t>
      </w:r>
    </w:p>
    <w:p>
      <w:pPr>
        <w:spacing w:after="120" w:line="276"/>
      </w:pPr>
      <w:r>
        <w:rPr>
          <w:rFonts w:ascii="Arial" w:cs="Arial" w:eastAsia="Arial" w:hAnsi="Arial"/>
          <w:color w:val="1A1A2E"/>
          <w:sz w:val="22"/>
          <w:szCs w:val="22"/>
        </w:rPr>
        <w:t xml:space="preserve">Terms introduced in one module are used without re-explanation in subsequent modules. The living glossary (Section 5) serves as the reference. If a student encounters a term they have forgotten, they look it up in their own glossary — which is anchored to their own experimental experience, not an abstract definition.</w:t>
      </w:r>
    </w:p>
    <w:p>
      <w:pPr>
        <w:spacing w:after="120" w:line="276"/>
      </w:pPr>
      <w:r>
        <w:rPr>
          <w:rFonts w:ascii="Arial" w:cs="Arial" w:eastAsia="Arial" w:hAnsi="Arial"/>
          <w:color w:val="1A1A2E"/>
          <w:sz w:val="22"/>
          <w:szCs w:val="22"/>
        </w:rPr>
        <w:t xml:space="preserve">Expected accumulation rate: approximately 3–5 terms per module, yielding roughly 185–310 scientific terms across the full 62-module curriculum. This exceeds the vocabulary load of a standard high school science sequence, with significantly stronger retention due to experiential anchoring.</w:t>
      </w:r>
    </w:p>
    <w:p>
      <w:pPr>
        <w:pStyle w:val="Heading1"/>
      </w:pPr>
      <w:r>
        <w:t xml:space="preserve">4. Scientific Method Scaffolding</w:t>
      </w:r>
    </w:p>
    <w:p>
      <w:pPr>
        <w:spacing w:after="120" w:line="276"/>
      </w:pPr>
      <w:r>
        <w:rPr>
          <w:rFonts w:ascii="Arial" w:cs="Arial" w:eastAsia="Arial" w:hAnsi="Arial"/>
          <w:color w:val="1A1A2E"/>
          <w:sz w:val="22"/>
          <w:szCs w:val="22"/>
        </w:rPr>
        <w:t xml:space="preserve">The scientific method is not taught as a prerequisite. It is taught as a set of recurring practices that the student performs, names, and gradually takes ownership of across the full curriculum.</w:t>
      </w:r>
    </w:p>
    <w:p>
      <w:pPr>
        <w:pStyle w:val="Heading2"/>
      </w:pPr>
      <w:r>
        <w:t xml:space="preserve">4.1 The Scaffolding Model</w:t>
      </w:r>
    </w:p>
    <w:p>
      <w:pPr>
        <w:spacing w:after="120" w:line="276"/>
      </w:pPr>
      <w:r>
        <w:rPr>
          <w:rFonts w:ascii="Arial" w:cs="Arial" w:eastAsia="Arial" w:hAnsi="Arial"/>
          <w:color w:val="1A1A2E"/>
          <w:sz w:val="22"/>
          <w:szCs w:val="22"/>
        </w:rPr>
        <w:t xml:space="preserve">Each experiment includes a Method Sidebar that runs alongside the procedure. The sidebar names the methodological step the student is performing. Over time, the sidebar transitions from telling the student what they did to asking them to identify it themselves.</w:t>
      </w:r>
    </w:p>
    <w:p>
      <w:pPr>
        <w:pStyle w:val="Heading2"/>
      </w:pPr>
      <w:r>
        <w:t xml:space="preserve">4.2 Progression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800"/>
        <w:gridCol w:w="30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Sidebar Behavior</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Student Responsibility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 Narrated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1–15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Sidebar explicitly names each methodological step after the student performs it. “You just formulated a hypothesis — a testable prediction based on prior observation.”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Follow the procedure. Read the sidebar. Begin recognizing the pattern.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 Prompted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16–30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Sidebar asks the student to name the step before revealing the answer. “What did you just do? (Flip to see: You identified the independent variable.)”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Attempt to name the methodological step. Self-correct against the sidebar.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 Independent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31–48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Sidebar provides only the category. “Methodological step: ______.” Student fills in from memory.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Identify the step by name. Record it in the lab notebook.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 Designer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49–62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No sidebar. Student designs the experimental procedure themselves, including controls, variables, and hypothesis. Module provides only the phenomenon and materials.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Full experimental design. The student is now practicing science, not following instructions.</w:t>
            </w:r>
          </w:p>
        </w:tc>
      </w:tr>
    </w:tbl>
    <w:p>
      <w:pPr>
        <w:spacing w:after="120"/>
      </w:pPr>
    </w:p>
    <w:p>
      <w:pPr>
        <w:pStyle w:val="Heading2"/>
      </w:pPr>
      <w:r>
        <w:t xml:space="preserve">4.3 Core Methodological Terms</w:t>
      </w:r>
    </w:p>
    <w:p>
      <w:pPr>
        <w:spacing w:after="120" w:line="276"/>
      </w:pPr>
      <w:r>
        <w:rPr>
          <w:rFonts w:ascii="Arial" w:cs="Arial" w:eastAsia="Arial" w:hAnsi="Arial"/>
          <w:color w:val="1A1A2E"/>
          <w:sz w:val="22"/>
          <w:szCs w:val="22"/>
        </w:rPr>
        <w:t xml:space="preserve">These terms are introduced across the first 8 modules (Phase 1) and reinforced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Introduced Via</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 Anchor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Hypothesis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Module 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The student’s prediction before running the experiment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Independent variable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Module 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The one thing the student deliberately changes between trials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Dependent variable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Module 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The thing the student measures to see if something changed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Control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Module 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The trial where nothing is changed, used as a baseline for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Observation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Module 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What the student sees, hears, or measures — distinct from interpretation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Module 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The recorded measurements and observations, organized for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Replication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Module 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Running the same experiment multiple times to verify consistency of results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Conclusion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Module 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 statement about whether the data supported or contradicted the hypothesis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Falsifiability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Module 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The principle that a hypothesis must be capable of being proven wrong to be scientific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Systematic error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Module 7</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 consistent flaw in the experimental setup that skews all results in the same direction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Peer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Module 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The process of having another person evaluate your methods and conclusions</w:t>
            </w:r>
          </w:p>
        </w:tc>
      </w:tr>
    </w:tbl>
    <w:p>
      <w:pPr>
        <w:pStyle w:val="Heading1"/>
      </w:pPr>
      <w:r>
        <w:t xml:space="preserve">5. Living Glossary</w:t>
      </w:r>
    </w:p>
    <w:p>
      <w:pPr>
        <w:spacing w:after="120" w:line="276"/>
      </w:pPr>
      <w:r>
        <w:rPr>
          <w:rFonts w:ascii="Arial" w:cs="Arial" w:eastAsia="Arial" w:hAnsi="Arial"/>
          <w:color w:val="1A1A2E"/>
          <w:sz w:val="22"/>
          <w:szCs w:val="22"/>
        </w:rPr>
        <w:t xml:space="preserve">The student maintains a personal glossary throughout the curriculum. Unlike a textbook glossary, each entry is tied to a specific experiment the student performed.</w:t>
      </w:r>
    </w:p>
    <w:p>
      <w:pPr>
        <w:pStyle w:val="Heading2"/>
      </w:pPr>
      <w:r>
        <w:t xml:space="preserve">5.1 Entry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300"/>
              <w:bottom w:type="dxa" w:w="160"/>
              <w:right w:type="dxa" w:w="300"/>
            </w:tcMar>
          </w:tcPr>
          <w:p>
            <w:pPr>
              <w:spacing w:after="120" w:line="276"/>
            </w:pPr>
            <w:r>
              <w:rPr>
                <w:rFonts w:ascii="Arial" w:cs="Arial" w:eastAsia="Arial" w:hAnsi="Arial"/>
                <w:b/>
                <w:bCs/>
                <w:color w:val="1A1A2E"/>
                <w:sz w:val="24"/>
                <w:szCs w:val="24"/>
              </w:rPr>
              <w:t xml:space="preserve">OXIDATION</w:t>
            </w:r>
          </w:p>
          <w:p>
            <w:pPr>
              <w:spacing w:after="120" w:line="276"/>
            </w:pPr>
            <w:r>
              <w:rPr>
                <w:rFonts w:ascii="Arial" w:cs="Arial" w:eastAsia="Arial" w:hAnsi="Arial"/>
                <w:b/>
                <w:bCs/>
                <w:color w:val="1A1A2E"/>
                <w:sz w:val="22"/>
                <w:szCs w:val="22"/>
              </w:rPr>
              <w:t xml:space="preserve">Definition: </w:t>
            </w:r>
            <w:r>
              <w:rPr>
                <w:rFonts w:ascii="Arial" w:cs="Arial" w:eastAsia="Arial" w:hAnsi="Arial"/>
                <w:color w:val="1A1A2E"/>
                <w:sz w:val="22"/>
                <w:szCs w:val="22"/>
              </w:rPr>
              <w:t xml:space="preserve">The loss of electrons by an atom, ion, or molecule during a chemical reaction.</w:t>
            </w:r>
          </w:p>
          <w:p>
            <w:pPr>
              <w:spacing w:after="120" w:line="276"/>
            </w:pPr>
            <w:r>
              <w:rPr>
                <w:rFonts w:ascii="Arial" w:cs="Arial" w:eastAsia="Arial" w:hAnsi="Arial"/>
                <w:b/>
                <w:bCs/>
                <w:color w:val="1A1A2E"/>
                <w:sz w:val="22"/>
                <w:szCs w:val="22"/>
              </w:rPr>
              <w:t xml:space="preserve">First encountered: </w:t>
            </w:r>
            <w:r>
              <w:rPr>
                <w:rFonts w:ascii="Arial" w:cs="Arial" w:eastAsia="Arial" w:hAnsi="Arial"/>
                <w:color w:val="1A1A2E"/>
                <w:sz w:val="22"/>
                <w:szCs w:val="22"/>
              </w:rPr>
              <w:t xml:space="preserve">Module 2 — “Can You Make a Battery from Fruit?”</w:t>
            </w:r>
          </w:p>
          <w:p>
            <w:pPr>
              <w:spacing w:after="120" w:line="276"/>
            </w:pPr>
            <w:r>
              <w:rPr>
                <w:rFonts w:ascii="Arial" w:cs="Arial" w:eastAsia="Arial" w:hAnsi="Arial"/>
                <w:b/>
                <w:bCs/>
                <w:color w:val="1A1A2E"/>
                <w:sz w:val="22"/>
                <w:szCs w:val="22"/>
              </w:rPr>
              <w:t xml:space="preserve">I saw it when: </w:t>
            </w:r>
            <w:r>
              <w:rPr>
                <w:rFonts w:ascii="Arial" w:cs="Arial" w:eastAsia="Arial" w:hAnsi="Arial"/>
                <w:color w:val="1A1A2E"/>
                <w:sz w:val="22"/>
                <w:szCs w:val="22"/>
              </w:rPr>
              <w:t xml:space="preserve">[Student writes their own observation, e.g., “The zinc strip got thinner and pitted after sitting in the lemon juice for 10 minutes.”]</w:t>
            </w:r>
          </w:p>
          <w:p>
            <w:pPr>
              <w:spacing w:after="120" w:line="276"/>
            </w:pPr>
            <w:r>
              <w:rPr>
                <w:rFonts w:ascii="Arial" w:cs="Arial" w:eastAsia="Arial" w:hAnsi="Arial"/>
                <w:b/>
                <w:bCs/>
                <w:color w:val="1A1A2E"/>
                <w:sz w:val="22"/>
                <w:szCs w:val="22"/>
              </w:rPr>
              <w:t xml:space="preserve">Connected to: </w:t>
            </w:r>
            <w:r>
              <w:rPr>
                <w:rFonts w:ascii="Arial" w:cs="Arial" w:eastAsia="Arial" w:hAnsi="Arial"/>
                <w:color w:val="1A1A2E"/>
                <w:sz w:val="22"/>
                <w:szCs w:val="22"/>
              </w:rPr>
              <w:t xml:space="preserve">Reduction (opposite process), Electrochemistry, Redox reaction</w:t>
            </w:r>
          </w:p>
        </w:tc>
      </w:tr>
    </w:tbl>
    <w:p>
      <w:pPr>
        <w:spacing w:after="80"/>
      </w:pPr>
    </w:p>
    <w:p>
      <w:pPr>
        <w:pStyle w:val="Heading2"/>
      </w:pPr>
      <w:r>
        <w:t xml:space="preserve">5.2 Rules</w:t>
      </w:r>
    </w:p>
    <w:p>
      <w:pPr>
        <w:pStyle w:val="ListParagraph"/>
        <w:numPr>
          <w:ilvl w:val="0"/>
          <w:numId w:val="3"/>
        </w:numPr>
        <w:spacing w:after="80" w:line="276"/>
      </w:pPr>
      <w:r>
        <w:rPr>
          <w:rFonts w:ascii="Arial" w:cs="Arial" w:eastAsia="Arial" w:hAnsi="Arial"/>
          <w:color w:val="1A1A2E"/>
          <w:sz w:val="22"/>
          <w:szCs w:val="22"/>
        </w:rPr>
        <w:t xml:space="preserve">The student writes the “I saw it when” field themselves. This is non-negotiable. The act of translating observation into language is the mechanism of retention.</w:t>
      </w:r>
    </w:p>
    <w:p>
      <w:pPr>
        <w:pStyle w:val="ListParagraph"/>
        <w:numPr>
          <w:ilvl w:val="0"/>
          <w:numId w:val="3"/>
        </w:numPr>
        <w:spacing w:after="80" w:line="276"/>
      </w:pPr>
      <w:r>
        <w:rPr>
          <w:rFonts w:ascii="Arial" w:cs="Arial" w:eastAsia="Arial" w:hAnsi="Arial"/>
          <w:color w:val="1A1A2E"/>
          <w:sz w:val="22"/>
          <w:szCs w:val="22"/>
        </w:rPr>
        <w:t xml:space="preserve">Entries are added after each module, not in advance.</w:t>
      </w:r>
    </w:p>
    <w:p>
      <w:pPr>
        <w:pStyle w:val="ListParagraph"/>
        <w:numPr>
          <w:ilvl w:val="0"/>
          <w:numId w:val="3"/>
        </w:numPr>
        <w:spacing w:after="80" w:line="276"/>
      </w:pPr>
      <w:r>
        <w:rPr>
          <w:rFonts w:ascii="Arial" w:cs="Arial" w:eastAsia="Arial" w:hAnsi="Arial"/>
          <w:color w:val="1A1A2E"/>
          <w:sz w:val="22"/>
          <w:szCs w:val="22"/>
        </w:rPr>
        <w:t xml:space="preserve">The “Connected to” field is left blank initially and filled in as later modules introduce related terms. This creates a growing web of connections.</w:t>
      </w:r>
    </w:p>
    <w:p>
      <w:pPr>
        <w:pStyle w:val="ListParagraph"/>
        <w:numPr>
          <w:ilvl w:val="0"/>
          <w:numId w:val="3"/>
        </w:numPr>
        <w:spacing w:after="80" w:line="276"/>
      </w:pPr>
      <w:r>
        <w:rPr>
          <w:rFonts w:ascii="Arial" w:cs="Arial" w:eastAsia="Arial" w:hAnsi="Arial"/>
          <w:color w:val="1A1A2E"/>
          <w:sz w:val="22"/>
          <w:szCs w:val="22"/>
        </w:rPr>
        <w:t xml:space="preserve">The glossary can be a physical notebook, a digital document, or index cards. The medium does not matter; the act of writing does.</w:t>
      </w:r>
    </w:p>
    <w:p>
      <w:pPr>
        <w:pStyle w:val="Heading1"/>
      </w:pPr>
      <w:r>
        <w:t xml:space="preserve">6. Concept Map — Full Curriculum Skeleton</w:t>
      </w:r>
    </w:p>
    <w:p>
      <w:pPr>
        <w:spacing w:after="120" w:line="276"/>
      </w:pPr>
      <w:r>
        <w:rPr>
          <w:rFonts w:ascii="Arial" w:cs="Arial" w:eastAsia="Arial" w:hAnsi="Arial"/>
          <w:color w:val="1A1A2E"/>
          <w:sz w:val="22"/>
          <w:szCs w:val="22"/>
        </w:rPr>
        <w:t xml:space="preserve">The curriculum is divided into two stages across four NGSS science domains. The Core Curriculum (48 modules, ~24 weeks) covers every concept a student needs for a thorough high school science education. The Advanced Curriculum (14 modules, ~7 weeks) extends into deeper topics for students who complete the core. Together they form a complete 31-week program spanning the full academic year.</w:t>
      </w:r>
    </w:p>
    <w:p>
      <w:pPr>
        <w:spacing w:after="60"/>
      </w:pPr>
    </w:p>
    <w:p>
      <w:pPr>
        <w:spacing w:after="160" w:before="200"/>
      </w:pPr>
      <w:r>
        <w:rPr>
          <w:rFonts w:ascii="Arial" w:cs="Arial" w:eastAsia="Arial" w:hAnsi="Arial"/>
          <w:b/>
          <w:bCs/>
          <w:color w:val="2E75B6"/>
          <w:sz w:val="30"/>
          <w:szCs w:val="30"/>
        </w:rPr>
        <w:t xml:space="preserve">STAGE 1: CORE CURRICULUM (40 Modules)</w:t>
      </w:r>
    </w:p>
    <w:p>
      <w:pPr>
        <w:pStyle w:val="Heading2"/>
      </w:pPr>
      <w:r>
        <w:t xml:space="preserve">6.1 Physics — Core (Modules P1–P14)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3460"/>
        <w:gridCol w:w="7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Forces and motion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Force, Newton, acceleration, inertia, mass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Drop objects of different mass; measure with phone accelerometer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Gravity and free fall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Gravitational acceleration, terminal velocity, drag</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Drop coffee filters (varying stacks) and time the fall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Energy conservation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Kinetic energy, potential energy, conservation of energy, joule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Ramp and ball: measure speed at different heights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Electricity fundamentals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Voltage, current, resistance, circuit, ampere, ohm</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Build simple circuits with batteries, LEDs, and resistors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Static electricity and charge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Electrostatic force, Coulomb’s law, charge, induction, grounding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Build an electroscope; charge by induction; attract water stream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Magnetism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Magnetic field, ferromagnetism, electromagnetic induction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Build an electromagnet; map field lines with iron filings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Waves and sound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Wavelength, frequency, amplitude, resonance, hertz</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Vibrating string/tube: vary length, measure pitch changes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Light and optics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Refraction, reflection, wavelength, spectrum, photon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Prism spectrum; measure angles of refraction through water/glass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The electromagnetic spectrum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Radio wave, microwave, infrared, ultraviolet, gamma ray, EM radiation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Use a prism + thermometer to detect infrared; test UV beads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Heat and thermodynamics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Thermal energy, conduction, convection, entropy, specific heat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Heat different materials, measure temperature curves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Momentum and collisions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Momentum, impulse, conservation of momentum, elastic, inelastic</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Marble collisions on a track; measure before/after velocities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Fluid dynamics and pressure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Buoyancy, density, Archimedes’ principle, Bernoulli’s principle, pressure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Cartesian diver; crush a can with air pressure; float/sink tests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Projectile motion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Trajectory, parabola, vector, component, range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Launch projectiles at varied angles, measure range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Simple machines and 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Mechanical advantage, work, lever, fulcrum, efficiency</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Build levers and pulleys; measure force reduction vs. distance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bl>
    <w:p>
      <w:pPr>
        <w:spacing w:after="200"/>
      </w:pPr>
    </w:p>
    <w:p>
      <w:pPr>
        <w:pStyle w:val="Heading2"/>
      </w:pPr>
      <w:r>
        <w:t xml:space="preserve">6.2 Chemistry — Core (Modules C1–C14)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3460"/>
        <w:gridCol w:w="7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Acids and bases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pH, acid, base, indicator, neutralization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Cabbage juice pH indicator across household substances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Electrochemistry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Oxidation, reduction, electrolyte, electrode, voltage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Fruit battery: power an LED from lemons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Chemical reactions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Reactant, product, exothermic, endothermic, catalyst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Baking soda + vinegar; measure temperature change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Atomic structure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Atom, electron, proton, neutron, nucleus, element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Flame tests: identify elements by emission spectra color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The periodic 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Period, group, valence electron, electronegativity, 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Compare reactivity of metals in acid (Zn, Cu, Fe, Mg)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Bonding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Covalent bond, ionic bond, molecule, crystal lattice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Dissolve salt vs. sugar; test conductivity of solutions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States of matter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Phase transition, sublimation, latent heat, vapor pressure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Freeze and boil different substances; plot phase curves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Gas laws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Boyle’s law, Charles’s law, ideal gas law, pressure, volume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Syringe pressure experiments; balloon in hot/cold water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Solutions and concentration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Solute, solvent, molarity, saturation, precipitate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Supersaturation: instant crystallization with sodium acetate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Reaction rates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Activation energy, catalyst, rate, collision theory</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Vary temperature/concentration on effervescent tablets; time reaction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Conservation of mass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Conservation, stoichiometry, mole, balanced equation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Sealed-bag reactions: weigh before and after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Chemical equilibrium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Equilibrium, Le Chatelier’s principle, reversible reaction, dynamic</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Cobalt chloride color-change equilibrium shift with temperature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Nuclear chemistry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Radioactivity, isotope, half-life, fission, fusion, alpha/beta/gamma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Build a cloud chamber; simulate half-life with coin-flipping model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Thermochemistry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Enthalpy, calorimetry, heat of reaction, Hess’s law, endothermic</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Calorimetry: measure heat released by burning food (cheese puff)</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bl>
    <w:p>
      <w:pPr>
        <w:spacing w:after="200"/>
      </w:pPr>
    </w:p>
    <w:p>
      <w:pPr>
        <w:pStyle w:val="Heading2"/>
      </w:pPr>
      <w:r>
        <w:t xml:space="preserve">6.3 Biology — Core (Modules B1–B12)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3460"/>
        <w:gridCol w:w="7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Cells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Cell, organelle, nucleus, membrane, cytoplasm, mitochondria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Cheek cell slide under microscope; compare to onion cell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Microorganisms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Bacteria, colony, agar, sterile technique, pathogen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Swab household surfaces; culture on agar plates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Photosynthesis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Chlorophyll, photosynthesis, glucose, carbon dioxide, oxygen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Elodea in water: count oxygen bubbles under different light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Respiration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Cellular respiration, aerobic, anaerobic, ATP, fermentation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Yeast + sugar: measure CO₂ production (balloon method)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Cell division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Mitosis, meiosis, chromosome, cell cycle, cytokinesis, diploid, haploid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Microscopy of onion root tip; identify stages of mitosis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Genetics basics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DNA, gene, allele, dominant, recessive, phenotype, genotype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Extract DNA from strawberries; predict traits with Punnett squares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Homeostasis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Homeostasis, feedback loop, regulation, stimulus, response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Track heart rate, temperature, pupil dilation under different conditions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Immune system and disease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Antigen, antibody, pathogen, immune response, vaccination, lymphocyte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Model antibody-antigen specificity with lock-and-key simulation; test hand-washing effectiveness on agar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Ecosystems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Ecosystem, food web, producer, consumer, decomposer, trophic level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Build a closed terrarium; observe over 2 weeks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Biogeochemical cycles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Carbon cycle, nitrogen cycle, water cycle, decomposition, flux</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Measure CO₂ in sealed containers with/without plants over time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Evolution and adaptation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Natural selection, adaptation, variation, fitness, mutation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Simulate predation with colored “bugs” on patterned backgrounds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Nervous system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Neuron, synapse, reflex arc, stimulus, sensory receptor, action potential</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Reaction time tests; two-point discrimination; sensory illusions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bl>
    <w:p>
      <w:pPr>
        <w:spacing w:after="120"/>
      </w:pPr>
    </w:p>
    <w:p>
      <w:pPr>
        <w:pStyle w:val="Heading2"/>
      </w:pPr>
      <w:r>
        <w:t xml:space="preserve">6.4 Core Tier Key</w:t>
      </w:r>
    </w:p>
    <w:p>
      <w:pPr>
        <w:pStyle w:val="ListParagraph"/>
        <w:numPr>
          <w:ilvl w:val="0"/>
          <w:numId w:val="3"/>
        </w:numPr>
        <w:spacing w:after="80" w:line="276"/>
      </w:pPr>
      <w:r>
        <w:rPr>
          <w:rFonts w:ascii="Arial" w:cs="Arial" w:eastAsia="Arial" w:hAnsi="Arial"/>
          <w:b/>
          <w:bCs/>
          <w:color w:val="1A1A2E"/>
          <w:sz w:val="22"/>
          <w:szCs w:val="22"/>
        </w:rPr>
        <w:t xml:space="preserve">Tier 1: </w:t>
      </w:r>
      <w:r>
        <w:rPr>
          <w:rFonts w:ascii="Arial" w:cs="Arial" w:eastAsia="Arial" w:hAnsi="Arial"/>
          <w:color w:val="1A1A2E"/>
          <w:sz w:val="22"/>
          <w:szCs w:val="22"/>
        </w:rPr>
        <w:t xml:space="preserve">Foundational. No prerequisites. Can be done in any order. These are the entry points.</w:t>
      </w:r>
    </w:p>
    <w:p>
      <w:pPr>
        <w:pStyle w:val="ListParagraph"/>
        <w:numPr>
          <w:ilvl w:val="0"/>
          <w:numId w:val="3"/>
        </w:numPr>
        <w:spacing w:after="80" w:line="276"/>
      </w:pPr>
      <w:r>
        <w:rPr>
          <w:rFonts w:ascii="Arial" w:cs="Arial" w:eastAsia="Arial" w:hAnsi="Arial"/>
          <w:b/>
          <w:bCs/>
          <w:color w:val="1A1A2E"/>
          <w:sz w:val="22"/>
          <w:szCs w:val="22"/>
        </w:rPr>
        <w:t xml:space="preserve">Tier 2: </w:t>
      </w:r>
      <w:r>
        <w:rPr>
          <w:rFonts w:ascii="Arial" w:cs="Arial" w:eastAsia="Arial" w:hAnsi="Arial"/>
          <w:color w:val="1A1A2E"/>
          <w:sz w:val="22"/>
          <w:szCs w:val="22"/>
        </w:rPr>
        <w:t xml:space="preserve">Builds on Tier 1 vocabulary and concepts. Requires 2–3 prior modules.</w:t>
      </w:r>
    </w:p>
    <w:p>
      <w:pPr>
        <w:pStyle w:val="ListParagraph"/>
        <w:numPr>
          <w:ilvl w:val="0"/>
          <w:numId w:val="3"/>
        </w:numPr>
        <w:spacing w:after="80" w:line="276"/>
      </w:pPr>
      <w:r>
        <w:rPr>
          <w:rFonts w:ascii="Arial" w:cs="Arial" w:eastAsia="Arial" w:hAnsi="Arial"/>
          <w:b/>
          <w:bCs/>
          <w:color w:val="1A1A2E"/>
          <w:sz w:val="22"/>
          <w:szCs w:val="22"/>
        </w:rPr>
        <w:t xml:space="preserve">Tier 3: </w:t>
      </w:r>
      <w:r>
        <w:rPr>
          <w:rFonts w:ascii="Arial" w:cs="Arial" w:eastAsia="Arial" w:hAnsi="Arial"/>
          <w:color w:val="1A1A2E"/>
          <w:sz w:val="22"/>
          <w:szCs w:val="22"/>
        </w:rPr>
        <w:t xml:space="preserve">Advanced application. Requires comfort with the subject’s foundational modules.</w:t>
      </w:r>
    </w:p>
    <w:p>
      <w:pPr>
        <w:spacing w:after="60"/>
      </w:pPr>
    </w:p>
    <w:p>
      <w:pPr>
        <w:spacing w:after="120" w:line="276"/>
      </w:pPr>
      <w:r>
        <w:rPr>
          <w:rFonts w:ascii="Arial" w:cs="Arial" w:eastAsia="Arial" w:hAnsi="Arial"/>
          <w:color w:val="1A1A2E"/>
          <w:sz w:val="22"/>
          <w:szCs w:val="22"/>
        </w:rPr>
        <w:t xml:space="preserve">Core total: 14 Physics + 14 Chemistry + 12 Biology = 40 modules. At 2 modules per week, the core curriculum takes approximately 20 weeks.</w:t>
      </w:r>
    </w:p>
    <w:p>
      <w:pPr>
        <w:spacing w:after="200"/>
      </w:pPr>
    </w:p>
    <w:p>
      <w:pPr>
        <w:spacing w:after="160" w:before="200"/>
      </w:pPr>
      <w:r>
        <w:rPr>
          <w:rFonts w:ascii="Arial" w:cs="Arial" w:eastAsia="Arial" w:hAnsi="Arial"/>
          <w:b/>
          <w:bCs/>
          <w:color w:val="2E75B6"/>
          <w:sz w:val="30"/>
          <w:szCs w:val="30"/>
        </w:rPr>
        <w:t xml:space="preserve">STAGE 2: ADVANCED CURRICULUM (10 Modules)</w:t>
      </w:r>
    </w:p>
    <w:p>
      <w:pPr>
        <w:spacing w:after="120" w:line="276"/>
      </w:pPr>
      <w:r>
        <w:rPr>
          <w:rFonts w:ascii="Arial" w:cs="Arial" w:eastAsia="Arial" w:hAnsi="Arial"/>
          <w:color w:val="1A1A2E"/>
          <w:sz w:val="22"/>
          <w:szCs w:val="22"/>
        </w:rPr>
        <w:t xml:space="preserve">These modules extend into deeper or more specialized topics. They are designed for students who have completed the relevant core modules and want to push further. Each advanced module builds explicitly on core concepts and vocabulary.</w:t>
      </w:r>
    </w:p>
    <w:p>
      <w:pPr>
        <w:spacing w:after="60"/>
      </w:pPr>
    </w:p>
    <w:p>
      <w:pPr>
        <w:pStyle w:val="Heading2"/>
      </w:pPr>
      <w:r>
        <w:t xml:space="preserve">6.5 Advanced Physics (Modules AP1–AP3)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300"/>
        <w:gridCol w:w="3160"/>
        <w:gridCol w:w="16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Prereqs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Nuclear physics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Radioactive decay, half-life, fission, fusion, binding energy, mass defect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Cloud chamber observation; Geiger counter survey of household items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P4, C13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AP2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Electrical circuits (advanced)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Series, parallel, Kirchhoff’s laws, internal resistance, power dissipation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Build series vs. parallel circuits; measure voltage drops across components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P4, P5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AP3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Relativity and modern physics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Special relativity, time dilation, mass-energy equivalence, photoelectric effect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Photoelectric effect simulation; calculate relativistic effects at different velocities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P3, P8, P9</w:t>
            </w:r>
          </w:p>
        </w:tc>
      </w:tr>
    </w:tbl>
    <w:p>
      <w:pPr>
        <w:spacing w:after="120"/>
      </w:pPr>
    </w:p>
    <w:p>
      <w:pPr>
        <w:pStyle w:val="Heading2"/>
      </w:pPr>
      <w:r>
        <w:t xml:space="preserve">6.6 Advanced Chemistry (Modules AC1–AC4)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300"/>
        <w:gridCol w:w="3160"/>
        <w:gridCol w:w="16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Prereqs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AC1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Organic chemistry basics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Hydrocarbon, functional group, polymer, monomer, isomer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Make slime (cross-linked polymers); test for organic compounds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C6, C3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AC2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Electrochemistry (advanced)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Electrolysis, Faraday’s law, galvanic cell, electrolytic cell, standard potential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Electroplate a coin with copper; electrolyze water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C2, C5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AC3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Acid-base equilibria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Buffer, titration, equivalence point, Ka, conjugate acid/base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Perform a titration with indicator; plot titration curve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C1, C12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AC4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Redox and corrosion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Galvanic corrosion, sacrificial anode, oxidation states, rust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Set up corrosion cells with different metals; test protective coatings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C2, C5, C11</w:t>
            </w:r>
          </w:p>
        </w:tc>
      </w:tr>
    </w:tbl>
    <w:p>
      <w:pPr>
        <w:spacing w:after="120"/>
      </w:pPr>
    </w:p>
    <w:p>
      <w:pPr>
        <w:pStyle w:val="Heading2"/>
      </w:pPr>
      <w:r>
        <w:t xml:space="preserve">6.7 Advanced Biology (Modules AB1–AB3)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300"/>
        <w:gridCol w:w="3160"/>
        <w:gridCol w:w="16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Prereqs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AB1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Molecular biology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DNA replication, transcription, translation, codon, ribosome, mRNA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Model transcription/translation with paper codons; extract and visualize RNA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B5, B6</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AB2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Human body systems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Organ system, circulatory, respiratory, musculoskeletal, integration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Measure lung capacity, heart rate recovery, grip strength fatigue curves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B7, B12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AB3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Plant biology and tropisms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Germination, tropism, auxin, xylem, phloem, transpiration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Grow seeds under varied light/gravity; measure transpiration rates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B3, B9</w:t>
            </w:r>
          </w:p>
        </w:tc>
      </w:tr>
    </w:tbl>
    <w:p>
      <w:pPr>
        <w:spacing w:after="120"/>
      </w:pPr>
    </w:p>
    <w:p>
      <w:pPr>
        <w:spacing w:after="120" w:line="276"/>
      </w:pPr>
      <w:r>
        <w:rPr>
          <w:rFonts w:ascii="Arial" w:cs="Arial" w:eastAsia="Arial" w:hAnsi="Arial"/>
          <w:color w:val="1A1A2E"/>
          <w:sz w:val="22"/>
          <w:szCs w:val="22"/>
        </w:rPr>
        <w:t xml:space="preserve">Advanced total: 3 Physics + 4 Chemistry + 3 Biology = 10 modules. At 2 modules per week, the advanced curriculum takes approximately 5 weeks.</w:t>
      </w:r>
    </w:p>
    <w:p>
      <w:pPr>
        <w:spacing w:after="200"/>
      </w:pPr>
    </w:p>
    <w:p>
      <w:pPr>
        <w:spacing w:after="160" w:before="200"/>
      </w:pPr>
      <w:r>
        <w:rPr>
          <w:rFonts w:ascii="Arial" w:cs="Arial" w:eastAsia="Arial" w:hAnsi="Arial"/>
          <w:b/>
          <w:bCs/>
          <w:color w:val="2E75B6"/>
          <w:sz w:val="30"/>
          <w:szCs w:val="30"/>
        </w:rPr>
        <w:t xml:space="preserve">STAGE 3: EARTH AND SPACE SCIENCE (8 Core + 4 Advanced)</w:t>
      </w:r>
    </w:p>
    <w:p>
      <w:pPr>
        <w:spacing w:after="120" w:line="276"/>
      </w:pPr>
      <w:r>
        <w:rPr>
          <w:rFonts w:ascii="Arial" w:cs="Arial" w:eastAsia="Arial" w:hAnsi="Arial"/>
          <w:color w:val="1A1A2E"/>
          <w:sz w:val="22"/>
          <w:szCs w:val="22"/>
        </w:rPr>
        <w:t xml:space="preserve">Earth and Space Science is the fourth NGSS domain. These modules add geological, atmospheric, and astronomical literacy to the curriculum. They draw heavily on physics and chemistry concepts already established in Stages 1 and 2, so they are sequenced to run alongside mid-to-late core modules or after the core is complete.</w:t>
      </w:r>
    </w:p>
    <w:p>
      <w:pPr>
        <w:spacing w:after="60"/>
      </w:pPr>
    </w:p>
    <w:p>
      <w:pPr>
        <w:pStyle w:val="Heading2"/>
      </w:pPr>
      <w:r>
        <w:t xml:space="preserve">6.8 Earth and Space Science — Core (Modules E1–E8)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3460"/>
        <w:gridCol w:w="7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Minerals and rocks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Mineral, ignite, sedimentary, metamorphic, crystal structure, Mohs scale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Mineral identification lab: hardness, streak, luster, cleavage tests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Plate tectonics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Tectonic plate, subduction, divergent/convergent boundary, mantle convection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Model convection currents with heated water and food coloring; map earthquake data</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Weathering and erosion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Weathering, erosion, deposition, chemical/mechanical weathering, sediment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Freeze-thaw rock splitting; acid on limestone; stream table erosion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Earth’s atmosphere and weather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Atmosphere, air pressure, humidity, front, convection cell, Coriolis effect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Build a barometer; measure pressure/temperature/humidity over a week; plot patterns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Climate science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Greenhouse effect, albedo, carbon dioxide, climate vs. weather, feedback loop</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Measure temperature in sealed containers with varying CO₂ levels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Earth’s history and geologic 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Stratigraphy, fossil, radiometric dating, half-life, geologic era, relative age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Model stratigraphy with layered sediments; simulate radiometric dating with coin decay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The solar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Orbit, Kepler’s laws, gravity, astronomical unit, planet, satellite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Scale model of the solar system; calculate orbital periods; track planet positions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Stars and the universe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Nuclear fusion, stellar lifecycle, light-year, red shift, Big Bang, spectrum</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Analyze stellar spectra (printed); use red shift to model expanding universe with balloon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r>
    </w:tbl>
    <w:p>
      <w:pPr>
        <w:spacing w:after="120"/>
      </w:pPr>
    </w:p>
    <w:p>
      <w:pPr>
        <w:pStyle w:val="Heading2"/>
      </w:pPr>
      <w:r>
        <w:t xml:space="preserve">6.9 Earth and Space Science — Advanced (Modules AE1–AE4)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300"/>
        <w:gridCol w:w="3160"/>
        <w:gridCol w:w="16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Concept</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Vocabulary</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Candidate Experiment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Prereqs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Oceanography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Salinity, thermohaline circulation, ocean current, upwelling, pH, acidification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Density-driven currents in a tank (salt/fresh/warm/cold water layering)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E4, E5, C1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Natural hazards and engineering</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Seismology, P-wave, S-wave, epicenter, magnitude, mitigation, resilience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Build and test earthquake-resistant structures on a shake table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E2, 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Earth’s resources and human impact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Renewable, nonrenewable, resource extraction, sustainability, carbon footprint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Lifecycle analysis of a product; compare energy sources with efficiency calculations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E5, C14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AE4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Deep space and cosmology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Galaxy, dark matter, cosmic microwave background, Hubble’s law, parsec</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Measure Hubble’s constant from galaxy recession data; model cosmic expansion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E8, P8</w:t>
            </w:r>
          </w:p>
        </w:tc>
      </w:tr>
    </w:tbl>
    <w:p>
      <w:pPr>
        <w:spacing w:after="120"/>
      </w:pPr>
    </w:p>
    <w:p>
      <w:pPr>
        <w:spacing w:after="120" w:line="276"/>
      </w:pPr>
      <w:r>
        <w:rPr>
          <w:rFonts w:ascii="Arial" w:cs="Arial" w:eastAsia="Arial" w:hAnsi="Arial"/>
          <w:color w:val="1A1A2E"/>
          <w:sz w:val="22"/>
          <w:szCs w:val="22"/>
        </w:rPr>
        <w:t xml:space="preserve">Earth and Space Science total: 8 core + 4 advanced = 12 modules. At 2 modules per week, this adds approximately 6 weeks.</w:t>
      </w:r>
    </w:p>
    <w:p>
      <w:pPr>
        <w:spacing w:after="200"/>
      </w:pPr>
    </w:p>
    <w:p>
      <w:pPr>
        <w:pStyle w:val="Heading2"/>
      </w:pPr>
      <w:r>
        <w:t xml:space="preserve">6.10 Curriculum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200"/>
        <w:gridCol w:w="1100"/>
        <w:gridCol w:w="1400"/>
        <w:gridCol w:w="1260"/>
        <w:gridCol w:w="11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Physics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Chemistry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Biology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Earth &amp; Space</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 Modules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Core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48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~24 weeks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Advanced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~7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Full Program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62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~31 weeks</w:t>
            </w:r>
          </w:p>
        </w:tc>
      </w:tr>
    </w:tbl>
    <w:p>
      <w:pPr>
        <w:spacing w:after="60"/>
      </w:pPr>
    </w:p>
    <w:p>
      <w:pPr>
        <w:spacing w:after="120" w:line="276"/>
      </w:pPr>
      <w:r>
        <w:rPr>
          <w:rFonts w:ascii="Arial" w:cs="Arial" w:eastAsia="Arial" w:hAnsi="Arial"/>
          <w:color w:val="1A1A2E"/>
          <w:sz w:val="22"/>
          <w:szCs w:val="22"/>
        </w:rPr>
        <w:t xml:space="preserve">At two modules per week, the full program spans approximately 31 weeks — a complete academic year. The core curriculum alone (48 modules, ~24 weeks) covers all four NGSS science domains and constitutes a comprehensive high school science education. The advanced track adds depth for motivated students or can be spread across a second year.</w:t>
      </w:r>
    </w:p>
    <w:p>
      <w:pPr>
        <w:pStyle w:val="Heading1"/>
      </w:pPr>
      <w:r>
        <w:t xml:space="preserve">7. Suggested Sequencing</w:t>
      </w:r>
    </w:p>
    <w:p>
      <w:pPr>
        <w:spacing w:after="120" w:line="276"/>
      </w:pPr>
      <w:r>
        <w:rPr>
          <w:rFonts w:ascii="Arial" w:cs="Arial" w:eastAsia="Arial" w:hAnsi="Arial"/>
          <w:color w:val="1A1A2E"/>
          <w:sz w:val="22"/>
          <w:szCs w:val="22"/>
        </w:rPr>
        <w:t xml:space="preserve">Modules interleave across all four subjects. Below is a suggested sequence for the first 16 modules, demonstrating the rotation pattern. Earth and Space Science modules enter the rotation once foundational physics and chemistry concepts are established (around week 4). The full 62-module sequence will be finalized after the proof of concept is validated.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55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Subject</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Concept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Chemistry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Acids, bases, and pH indicators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Physics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Forces, motion, and inertia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Biology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Cell structure and microscopy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Chemistry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Electrochemistry (fruit battery)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Physics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Gravity and free fall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Biology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Microorganisms and culturing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Chemistry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Chemical reactions and energy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Earth &amp; Space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Minerals and rocks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Physics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Energy conservation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Biology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Photosynthesis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Earth &amp; Space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Plate tectonics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Physics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Electricity fundamentals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Chemistry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Atomic structure and emission spectra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Biology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Cellular respiration and fermentation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Earth &amp; Space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Weathering and erosion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Physics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Static electricity and charge</w:t>
            </w:r>
          </w:p>
        </w:tc>
      </w:tr>
    </w:tbl>
    <w:p>
      <w:pPr>
        <w:spacing w:after="80"/>
      </w:pPr>
    </w:p>
    <w:p>
      <w:pPr>
        <w:spacing w:after="120" w:line="276"/>
      </w:pPr>
      <w:r>
        <w:rPr>
          <w:rFonts w:ascii="Arial" w:cs="Arial" w:eastAsia="Arial" w:hAnsi="Arial"/>
          <w:color w:val="1A1A2E"/>
          <w:sz w:val="22"/>
          <w:szCs w:val="22"/>
        </w:rPr>
        <w:t xml:space="preserve">Each week targets two modules (~1 hour each including the research report). This pace is adjustable. The interleaving pattern ensures the student never spends more than one consecutive session in the same subject. Earth and Space Science enters the rotation in week 4 once the student has foundational experience with forces, chemical reactions, and microscopy.</w:t>
      </w:r>
    </w:p>
    <w:p>
      <w:pPr>
        <w:pStyle w:val="Heading1"/>
      </w:pPr>
      <w:r>
        <w:t xml:space="preserve">8. Research Report Process</w:t>
      </w:r>
    </w:p>
    <w:p>
      <w:pPr>
        <w:spacing w:after="120" w:line="276"/>
      </w:pPr>
      <w:r>
        <w:rPr>
          <w:rFonts w:ascii="Arial" w:cs="Arial" w:eastAsia="Arial" w:hAnsi="Arial"/>
          <w:color w:val="1A1A2E"/>
          <w:sz w:val="22"/>
          <w:szCs w:val="22"/>
        </w:rPr>
        <w:t xml:space="preserve">Every module culminates in a mini research report. This is not a lab report. A lab report recites procedure and records data. A research report asks a question, uses an experiment to answer it, and argues for a conclusion. The student is an investigator writing for an audience, not a technician filling in blanks.</w:t>
      </w:r>
    </w:p>
    <w:p>
      <w:pPr>
        <w:spacing w:after="120" w:line="276"/>
      </w:pPr>
      <w:r>
        <w:rPr>
          <w:rFonts w:ascii="Arial" w:cs="Arial" w:eastAsia="Arial" w:hAnsi="Arial"/>
          <w:color w:val="1A1A2E"/>
          <w:sz w:val="22"/>
          <w:szCs w:val="22"/>
        </w:rPr>
        <w:t xml:space="preserve">Over 62 modules, the student builds a portfolio of 62 research reports — a body of original scientific work, written in their own voice, using precise scientific language, grounded in experiments they conducted themselves.</w:t>
      </w:r>
    </w:p>
    <w:p>
      <w:pPr>
        <w:pStyle w:val="Heading2"/>
      </w:pPr>
      <w:r>
        <w:t xml:space="preserve">8.1 Why Research Reports, Not Lab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 Report (avoided)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Research Report (used)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Recites the procedure as given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Describes the method the student chose and why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Records data in a 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Interprets data and argues for a conclusion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States a “purpose”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Poses a genuine research question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Passive voice, impersonal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First person, active voice — the student owns the investigation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Ends with “conclusion: the hypothesis was supported”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Ends with a new question the findings raised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Feels like homework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Feels like publishing your findings</w:t>
            </w:r>
          </w:p>
        </w:tc>
      </w:tr>
    </w:tbl>
    <w:p>
      <w:pPr>
        <w:spacing w:after="120"/>
      </w:pPr>
    </w:p>
    <w:p>
      <w:pPr>
        <w:pStyle w:val="Heading2"/>
      </w:pPr>
      <w:r>
        <w:t xml:space="preserve">8.2 Report Structure</w:t>
      </w:r>
    </w:p>
    <w:p>
      <w:pPr>
        <w:spacing w:after="120" w:line="276"/>
      </w:pPr>
      <w:r>
        <w:rPr>
          <w:rFonts w:ascii="Arial" w:cs="Arial" w:eastAsia="Arial" w:hAnsi="Arial"/>
          <w:color w:val="1A1A2E"/>
          <w:sz w:val="22"/>
          <w:szCs w:val="22"/>
        </w:rPr>
        <w:t xml:space="preserve">Each report follows six sections. These mirror the structure of a real scientific paper, scaled to be completable in 15–20 minutes of writing after each experiment.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11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Prompt to the Student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Scientific Skill Practiced</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Length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 Research Question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“What question are you trying to answer? Write it as a single, specific, testable question.”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Formulating a precise, falsifiable question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1–2 sentences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 Hypothesis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“Based on what you already know, what do you predict will happen? State your prediction using the scientific terms you’ve learned, and explain your reasoning.”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Making predictions grounded in prior knowledge; using precise terminology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2–3 sentences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 Experimental Design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“Describe what you did in your own words. What was your independent variable? Your dependent variable? What did you control? Why?”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Understanding variables, controls, and experimental logic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 short paragraph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 Results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“What happened? Report your observations and data. Include numbers, measurements, descriptions. Sketches and tables encouraged. Do not interpret yet — just report.”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Distinguishing observation from interpretation; accurate data recording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 paragraph + optional table/sketch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5. Analysis and Conclusion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“What do your results mean? Was your hypothesis supported or contradicted? Use specific data to support your argument. Connect your findings to this module’s scientific concepts.”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Evidence-based argumentation; connecting data to theory; vocabulary in context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1–2 paragraphs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6. Next Investigation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“What new question did this experiment raise? If you could design a follow-up experiment, what would you test and why?”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Identifying gaps; generating new hypotheses; science as iterative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2–4 sentences</w:t>
            </w:r>
          </w:p>
        </w:tc>
      </w:tr>
    </w:tbl>
    <w:p>
      <w:pPr>
        <w:spacing w:after="120"/>
      </w:pPr>
    </w:p>
    <w:p>
      <w:pPr>
        <w:pStyle w:val="Heading2"/>
      </w:pPr>
      <w:r>
        <w:t xml:space="preserve">8.3 Scaffolding Progression for Reports</w:t>
      </w:r>
    </w:p>
    <w:p>
      <w:pPr>
        <w:spacing w:after="120" w:line="276"/>
      </w:pPr>
      <w:r>
        <w:rPr>
          <w:rFonts w:ascii="Arial" w:cs="Arial" w:eastAsia="Arial" w:hAnsi="Arial"/>
          <w:color w:val="1A1A2E"/>
          <w:sz w:val="22"/>
          <w:szCs w:val="22"/>
        </w:rPr>
        <w:t xml:space="preserve">Just as the Method Sidebar (Section 4) gradually transfers ownership of the scientific method to the student, the research report process has its own scaffolding progression: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Report Scaffolding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 Guided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1–15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Each section includes a detailed prompt with an example of what a strong response looks like. Key scientific terms are suggested in the prompt. The report form highlights which terms from the module should appear in the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 Prompted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16–30</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Prompts remain but examples are removed. The student receives a checklist: “Did you state your independent variable? Did you use at least 2 terms from this module in your analysis? Did you cite specific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 Structured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31–48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Only section headings and one-sentence prompts remain. The student writes freely within the structure. The checklist becomes self-administered.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 Independent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49–62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The student receives only the research question (or formulates their own in Phase 4 Designer modules). They produce the full report from the blank structure, mirroring the process of writing an actual research paper.</w:t>
            </w:r>
          </w:p>
        </w:tc>
      </w:tr>
    </w:tbl>
    <w:p>
      <w:pPr>
        <w:spacing w:after="120"/>
      </w:pPr>
    </w:p>
    <w:p>
      <w:pPr>
        <w:pStyle w:val="Heading2"/>
      </w:pPr>
      <w:r>
        <w:t xml:space="preserve">8.4 Language Standards in Reports</w:t>
      </w:r>
    </w:p>
    <w:p>
      <w:pPr>
        <w:spacing w:after="120" w:line="276"/>
      </w:pPr>
      <w:r>
        <w:rPr>
          <w:rFonts w:ascii="Arial" w:cs="Arial" w:eastAsia="Arial" w:hAnsi="Arial"/>
          <w:color w:val="1A1A2E"/>
          <w:sz w:val="22"/>
          <w:szCs w:val="22"/>
        </w:rPr>
        <w:t xml:space="preserve">The language policy (Section 3) applies with full force in the research reports. Specifically:</w:t>
      </w:r>
    </w:p>
    <w:p>
      <w:pPr>
        <w:pStyle w:val="ListParagraph"/>
        <w:numPr>
          <w:ilvl w:val="0"/>
          <w:numId w:val="3"/>
        </w:numPr>
        <w:spacing w:after="80" w:line="276"/>
      </w:pPr>
      <w:r>
        <w:rPr>
          <w:rFonts w:ascii="Arial" w:cs="Arial" w:eastAsia="Arial" w:hAnsi="Arial"/>
          <w:color w:val="1A1A2E"/>
          <w:sz w:val="22"/>
          <w:szCs w:val="22"/>
        </w:rPr>
        <w:t xml:space="preserve">All scientific terms introduced in the module must be used correctly in the report. The Analysis section is the primary location for demonstrating vocabulary mastery.</w:t>
      </w:r>
    </w:p>
    <w:p>
      <w:pPr>
        <w:pStyle w:val="ListParagraph"/>
        <w:numPr>
          <w:ilvl w:val="0"/>
          <w:numId w:val="3"/>
        </w:numPr>
        <w:spacing w:after="80" w:line="276"/>
      </w:pPr>
      <w:r>
        <w:rPr>
          <w:rFonts w:ascii="Arial" w:cs="Arial" w:eastAsia="Arial" w:hAnsi="Arial"/>
          <w:color w:val="1A1A2E"/>
          <w:sz w:val="22"/>
          <w:szCs w:val="22"/>
        </w:rPr>
        <w:t xml:space="preserve">Colloquial substitutions are flagged during review. If a student writes “the metal broke down,” the feedback is: “What is the precise term for what happened to the zinc? Use it.”</w:t>
      </w:r>
    </w:p>
    <w:p>
      <w:pPr>
        <w:pStyle w:val="ListParagraph"/>
        <w:numPr>
          <w:ilvl w:val="0"/>
          <w:numId w:val="3"/>
        </w:numPr>
        <w:spacing w:after="80" w:line="276"/>
      </w:pPr>
      <w:r>
        <w:rPr>
          <w:rFonts w:ascii="Arial" w:cs="Arial" w:eastAsia="Arial" w:hAnsi="Arial"/>
          <w:color w:val="1A1A2E"/>
          <w:sz w:val="22"/>
          <w:szCs w:val="22"/>
        </w:rPr>
        <w:t xml:space="preserve">Reports are written in first person, active voice: “I measured the voltage across the circuit” not “the voltage was measured.” The student owns their investigation.</w:t>
      </w:r>
    </w:p>
    <w:p>
      <w:pPr>
        <w:pStyle w:val="ListParagraph"/>
        <w:numPr>
          <w:ilvl w:val="0"/>
          <w:numId w:val="3"/>
        </w:numPr>
        <w:spacing w:after="80" w:line="276"/>
      </w:pPr>
      <w:r>
        <w:rPr>
          <w:rFonts w:ascii="Arial" w:cs="Arial" w:eastAsia="Arial" w:hAnsi="Arial"/>
          <w:color w:val="1A1A2E"/>
          <w:sz w:val="22"/>
          <w:szCs w:val="22"/>
        </w:rPr>
        <w:t xml:space="preserve">The Hypothesis section must include reasoning, not just a prediction. “I think the lemon will produce more voltage” is incomplete. “I hypothesize that the lemon will produce a higher voltage than the potato because citric acid is a stronger electrolyte than starch, meaning more ions are available to facilitate the redox reaction” demonstrates understanding.</w:t>
      </w:r>
    </w:p>
    <w:p>
      <w:pPr>
        <w:spacing w:after="120"/>
      </w:pPr>
    </w:p>
    <w:p>
      <w:pPr>
        <w:pStyle w:val="Heading2"/>
      </w:pPr>
      <w:r>
        <w:t xml:space="preserve">8.5 The Digital Report Tool</w:t>
      </w:r>
    </w:p>
    <w:p>
      <w:pPr>
        <w:spacing w:after="120" w:line="276"/>
      </w:pPr>
      <w:r>
        <w:rPr>
          <w:rFonts w:ascii="Arial" w:cs="Arial" w:eastAsia="Arial" w:hAnsi="Arial"/>
          <w:color w:val="1A1A2E"/>
          <w:sz w:val="22"/>
          <w:szCs w:val="22"/>
        </w:rPr>
        <w:t xml:space="preserve">Students complete their research reports using an online form that walks them through each section with guided prompts. The form is not a blank page — it is structured to reduce the executive function overhead of “where do I start?” that is particularly challenging for ADHD learners.</w:t>
      </w:r>
    </w:p>
    <w:p>
      <w:pPr>
        <w:spacing w:after="120" w:line="276"/>
      </w:pPr>
      <w:r>
        <w:rPr>
          <w:rFonts w:ascii="Arial" w:cs="Arial" w:eastAsia="Arial" w:hAnsi="Arial"/>
          <w:color w:val="1A1A2E"/>
          <w:sz w:val="22"/>
          <w:szCs w:val="22"/>
        </w:rPr>
        <w:t xml:space="preserve">The tool:</w:t>
      </w:r>
    </w:p>
    <w:p>
      <w:pPr>
        <w:pStyle w:val="ListParagraph"/>
        <w:numPr>
          <w:ilvl w:val="0"/>
          <w:numId w:val="3"/>
        </w:numPr>
        <w:spacing w:after="80" w:line="276"/>
      </w:pPr>
      <w:r>
        <w:rPr>
          <w:rFonts w:ascii="Arial" w:cs="Arial" w:eastAsia="Arial" w:hAnsi="Arial"/>
          <w:b/>
          <w:bCs/>
          <w:color w:val="1A1A2E"/>
          <w:sz w:val="22"/>
          <w:szCs w:val="22"/>
        </w:rPr>
        <w:t xml:space="preserve">Presents one section at a time </w:t>
      </w:r>
      <w:r>
        <w:rPr>
          <w:rFonts w:ascii="Arial" w:cs="Arial" w:eastAsia="Arial" w:hAnsi="Arial"/>
          <w:color w:val="1A1A2E"/>
          <w:sz w:val="22"/>
          <w:szCs w:val="22"/>
        </w:rPr>
        <w:t xml:space="preserve">to prevent overwhelm. The student sees only the current section and its prompt, not the entire report.</w:t>
      </w:r>
    </w:p>
    <w:p>
      <w:pPr>
        <w:pStyle w:val="ListParagraph"/>
        <w:numPr>
          <w:ilvl w:val="0"/>
          <w:numId w:val="3"/>
        </w:numPr>
        <w:spacing w:after="80" w:line="276"/>
      </w:pPr>
      <w:r>
        <w:rPr>
          <w:rFonts w:ascii="Arial" w:cs="Arial" w:eastAsia="Arial" w:hAnsi="Arial"/>
          <w:b/>
          <w:bCs/>
          <w:color w:val="1A1A2E"/>
          <w:sz w:val="22"/>
          <w:szCs w:val="22"/>
        </w:rPr>
        <w:t xml:space="preserve">Includes the module’s key terminology </w:t>
      </w:r>
      <w:r>
        <w:rPr>
          <w:rFonts w:ascii="Arial" w:cs="Arial" w:eastAsia="Arial" w:hAnsi="Arial"/>
          <w:color w:val="1A1A2E"/>
          <w:sz w:val="22"/>
          <w:szCs w:val="22"/>
        </w:rPr>
        <w:t xml:space="preserve">as reference chips that the student can tap to see definitions. This keeps the glossary accessible without breaking flow.</w:t>
      </w:r>
    </w:p>
    <w:p>
      <w:pPr>
        <w:pStyle w:val="ListParagraph"/>
        <w:numPr>
          <w:ilvl w:val="0"/>
          <w:numId w:val="3"/>
        </w:numPr>
        <w:spacing w:after="80" w:line="276"/>
      </w:pPr>
      <w:r>
        <w:rPr>
          <w:rFonts w:ascii="Arial" w:cs="Arial" w:eastAsia="Arial" w:hAnsi="Arial"/>
          <w:b/>
          <w:bCs/>
          <w:color w:val="1A1A2E"/>
          <w:sz w:val="22"/>
          <w:szCs w:val="22"/>
        </w:rPr>
        <w:t xml:space="preserve">Auto-saves continuously </w:t>
      </w:r>
      <w:r>
        <w:rPr>
          <w:rFonts w:ascii="Arial" w:cs="Arial" w:eastAsia="Arial" w:hAnsi="Arial"/>
          <w:color w:val="1A1A2E"/>
          <w:sz w:val="22"/>
          <w:szCs w:val="22"/>
        </w:rPr>
        <w:t xml:space="preserve">so the student never loses work. They can leave and return without penalty.</w:t>
      </w:r>
    </w:p>
    <w:p>
      <w:pPr>
        <w:pStyle w:val="ListParagraph"/>
        <w:numPr>
          <w:ilvl w:val="0"/>
          <w:numId w:val="3"/>
        </w:numPr>
        <w:spacing w:after="80" w:line="276"/>
      </w:pPr>
      <w:r>
        <w:rPr>
          <w:rFonts w:ascii="Arial" w:cs="Arial" w:eastAsia="Arial" w:hAnsi="Arial"/>
          <w:b/>
          <w:bCs/>
          <w:color w:val="1A1A2E"/>
          <w:sz w:val="22"/>
          <w:szCs w:val="22"/>
        </w:rPr>
        <w:t xml:space="preserve">Generates a formatted report </w:t>
      </w:r>
      <w:r>
        <w:rPr>
          <w:rFonts w:ascii="Arial" w:cs="Arial" w:eastAsia="Arial" w:hAnsi="Arial"/>
          <w:color w:val="1A1A2E"/>
          <w:sz w:val="22"/>
          <w:szCs w:val="22"/>
        </w:rPr>
        <w:t xml:space="preserve">when complete. The output looks like a real mini research paper with the student’s name, the module title, date, and all six sections formatted with proper headings.</w:t>
      </w:r>
    </w:p>
    <w:p>
      <w:pPr>
        <w:pStyle w:val="ListParagraph"/>
        <w:numPr>
          <w:ilvl w:val="0"/>
          <w:numId w:val="3"/>
        </w:numPr>
        <w:spacing w:after="80" w:line="276"/>
      </w:pPr>
      <w:r>
        <w:rPr>
          <w:rFonts w:ascii="Arial" w:cs="Arial" w:eastAsia="Arial" w:hAnsi="Arial"/>
          <w:b/>
          <w:bCs/>
          <w:color w:val="1A1A2E"/>
          <w:sz w:val="22"/>
          <w:szCs w:val="22"/>
        </w:rPr>
        <w:t xml:space="preserve">Builds a portfolio over time. </w:t>
      </w:r>
      <w:r>
        <w:rPr>
          <w:rFonts w:ascii="Arial" w:cs="Arial" w:eastAsia="Arial" w:hAnsi="Arial"/>
          <w:color w:val="1A1A2E"/>
          <w:sz w:val="22"/>
          <w:szCs w:val="22"/>
        </w:rPr>
        <w:t xml:space="preserve">All 62 reports accumulate into a single collection. By the end of the curriculum, the student has a tangible body of scientific work.</w:t>
      </w:r>
    </w:p>
    <w:p>
      <w:pPr>
        <w:spacing w:after="120"/>
      </w:pPr>
    </w:p>
    <w:p>
      <w:pPr>
        <w:pStyle w:val="Heading2"/>
      </w:pPr>
      <w:r>
        <w:t xml:space="preserve">8.6 Review and Feedback</w:t>
      </w:r>
    </w:p>
    <w:p>
      <w:pPr>
        <w:spacing w:after="120" w:line="276"/>
      </w:pPr>
      <w:r>
        <w:rPr>
          <w:rFonts w:ascii="Arial" w:cs="Arial" w:eastAsia="Arial" w:hAnsi="Arial"/>
          <w:color w:val="1A1A2E"/>
          <w:sz w:val="22"/>
          <w:szCs w:val="22"/>
        </w:rPr>
        <w:t xml:space="preserve">Reports are reviewed by the instructor (parent, tutor, or teacher) with a simple rubric focused on three dimensions: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to Look For</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Feedback Focus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Vocabulary Precision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Did the student use the module’s scientific terms correctly? Are there colloquial substitutions?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Point to the specific term. Ask: “What is the scientific word for this?”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Evidence-Based Reasoning</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Does the Analysis cite specific data from Results? Does the student connect observations to concepts?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Ask: “You said the hypothesis was supported — which measurement tells you that?”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Investigative Thinking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Does Next Investigation pose a genuine, testable question? Does it follow from the findings?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If the question is vague, ask: “What exactly would you change? What would you measure?”</w:t>
            </w:r>
          </w:p>
        </w:tc>
      </w:tr>
    </w:tbl>
    <w:p>
      <w:pPr>
        <w:spacing w:after="60"/>
      </w:pPr>
    </w:p>
    <w:p>
      <w:pPr>
        <w:spacing w:after="120" w:line="276"/>
      </w:pPr>
      <w:r>
        <w:rPr>
          <w:rFonts w:ascii="Arial" w:cs="Arial" w:eastAsia="Arial" w:hAnsi="Arial"/>
          <w:color w:val="1A1A2E"/>
          <w:sz w:val="22"/>
          <w:szCs w:val="22"/>
        </w:rPr>
        <w:t xml:space="preserve">Feedback should be conversational, not corrective. The goal is to push the student toward greater precision, not to penalize incomplete thinking. A report that uses three out of five terms correctly is a success — the feedback targets the two that were missed or misused.</w:t>
      </w:r>
    </w:p>
    <w:p>
      <w:pPr>
        <w:spacing w:after="120"/>
      </w:pPr>
    </w:p>
    <w:p>
      <w:pPr>
        <w:pStyle w:val="Heading2"/>
      </w:pPr>
      <w:r>
        <w:t xml:space="preserve">8.7 Portfolio and Progress Tracking</w:t>
      </w:r>
    </w:p>
    <w:p>
      <w:pPr>
        <w:spacing w:after="120" w:line="276"/>
      </w:pPr>
      <w:r>
        <w:rPr>
          <w:rFonts w:ascii="Arial" w:cs="Arial" w:eastAsia="Arial" w:hAnsi="Arial"/>
          <w:color w:val="1A1A2E"/>
          <w:sz w:val="22"/>
          <w:szCs w:val="22"/>
        </w:rPr>
        <w:t xml:space="preserve">The 62 research reports collectively serve as both a learning artifact and an assessment tool:</w:t>
      </w:r>
    </w:p>
    <w:p>
      <w:pPr>
        <w:pStyle w:val="ListParagraph"/>
        <w:numPr>
          <w:ilvl w:val="0"/>
          <w:numId w:val="3"/>
        </w:numPr>
        <w:spacing w:after="80" w:line="276"/>
      </w:pPr>
      <w:r>
        <w:rPr>
          <w:rFonts w:ascii="Arial" w:cs="Arial" w:eastAsia="Arial" w:hAnsi="Arial"/>
          <w:color w:val="1A1A2E"/>
          <w:sz w:val="22"/>
          <w:szCs w:val="22"/>
        </w:rPr>
        <w:t xml:space="preserve">Early reports (Modules 1–15) will be shorter, rely more on prompts, and may have vocabulary gaps. This is expected.</w:t>
      </w:r>
    </w:p>
    <w:p>
      <w:pPr>
        <w:pStyle w:val="ListParagraph"/>
        <w:numPr>
          <w:ilvl w:val="0"/>
          <w:numId w:val="3"/>
        </w:numPr>
        <w:spacing w:after="80" w:line="276"/>
      </w:pPr>
      <w:r>
        <w:rPr>
          <w:rFonts w:ascii="Arial" w:cs="Arial" w:eastAsia="Arial" w:hAnsi="Arial"/>
          <w:color w:val="1A1A2E"/>
          <w:sz w:val="22"/>
          <w:szCs w:val="22"/>
        </w:rPr>
        <w:t xml:space="preserve">Mid-curriculum reports (Modules 16–40) should show increasing independence, longer analysis sections, and cross-references to earlier experiments.</w:t>
      </w:r>
    </w:p>
    <w:p>
      <w:pPr>
        <w:pStyle w:val="ListParagraph"/>
        <w:numPr>
          <w:ilvl w:val="0"/>
          <w:numId w:val="3"/>
        </w:numPr>
        <w:spacing w:after="80" w:line="276"/>
      </w:pPr>
      <w:r>
        <w:rPr>
          <w:rFonts w:ascii="Arial" w:cs="Arial" w:eastAsia="Arial" w:hAnsi="Arial"/>
          <w:color w:val="1A1A2E"/>
          <w:sz w:val="22"/>
          <w:szCs w:val="22"/>
        </w:rPr>
        <w:t xml:space="preserve">Late reports (Modules 41–62) should read as genuine mini research papers: self-directed questions, rigorous methodology, evidence-based conclusions, and sophisticated vocabulary.</w:t>
      </w:r>
    </w:p>
    <w:p>
      <w:pPr>
        <w:spacing w:after="120" w:line="276"/>
      </w:pPr>
      <w:r>
        <w:rPr>
          <w:rFonts w:ascii="Arial" w:cs="Arial" w:eastAsia="Arial" w:hAnsi="Arial"/>
          <w:color w:val="1A1A2E"/>
          <w:sz w:val="22"/>
          <w:szCs w:val="22"/>
        </w:rPr>
        <w:t xml:space="preserve">Comparing Report 1 to Report 30 gives a concrete, visible measure of growth that the student can see for themselves. For an ADHD learner, this tangible evidence of progress is a powerful motivator.</w:t>
      </w:r>
    </w:p>
    <w:p>
      <w:pPr>
        <w:pStyle w:val="Heading1"/>
      </w:pPr>
      <w:r>
        <w:t xml:space="preserve">9. Lab Notebook</w:t>
      </w:r>
    </w:p>
    <w:p>
      <w:pPr>
        <w:spacing w:after="120" w:line="276"/>
      </w:pPr>
      <w:r>
        <w:rPr>
          <w:rFonts w:ascii="Arial" w:cs="Arial" w:eastAsia="Arial" w:hAnsi="Arial"/>
          <w:color w:val="1A1A2E"/>
          <w:sz w:val="22"/>
          <w:szCs w:val="22"/>
        </w:rPr>
        <w:t xml:space="preserve">The student keeps a lab notebook throughout the curriculum. This is separate from both the glossary and the research reports. The notebook captures raw, in-the-moment experimental work — the rough notes taken during the experiment itself. The research report (Section 8) is the polished interpretation written afterward; the notebook is the raw material.</w:t>
      </w:r>
    </w:p>
    <w:p>
      <w:pPr>
        <w:pStyle w:val="Heading2"/>
      </w:pPr>
      <w:r>
        <w:t xml:space="preserve">9.1 Notebook Entry Template</w:t>
      </w:r>
    </w:p>
    <w:p>
      <w:pPr>
        <w:pStyle w:val="ListParagraph"/>
        <w:numPr>
          <w:ilvl w:val="0"/>
          <w:numId w:val="3"/>
        </w:numPr>
        <w:spacing w:after="80" w:line="276"/>
      </w:pPr>
      <w:r>
        <w:rPr>
          <w:rFonts w:ascii="Arial" w:cs="Arial" w:eastAsia="Arial" w:hAnsi="Arial"/>
          <w:color w:val="1A1A2E"/>
          <w:sz w:val="22"/>
          <w:szCs w:val="22"/>
        </w:rPr>
        <w:t xml:space="preserve">Date and module number</w:t>
      </w:r>
    </w:p>
    <w:p>
      <w:pPr>
        <w:pStyle w:val="ListParagraph"/>
        <w:numPr>
          <w:ilvl w:val="0"/>
          <w:numId w:val="3"/>
        </w:numPr>
        <w:spacing w:after="80" w:line="276"/>
      </w:pPr>
      <w:r>
        <w:rPr>
          <w:rFonts w:ascii="Arial" w:cs="Arial" w:eastAsia="Arial" w:hAnsi="Arial"/>
          <w:b/>
          <w:bCs/>
          <w:color w:val="1A1A2E"/>
          <w:sz w:val="22"/>
          <w:szCs w:val="22"/>
        </w:rPr>
        <w:t xml:space="preserve">My prediction: </w:t>
      </w:r>
      <w:r>
        <w:rPr>
          <w:rFonts w:ascii="Arial" w:cs="Arial" w:eastAsia="Arial" w:hAnsi="Arial"/>
          <w:color w:val="1A1A2E"/>
          <w:sz w:val="22"/>
          <w:szCs w:val="22"/>
        </w:rPr>
        <w:t xml:space="preserve">(written before the experiment begins)</w:t>
      </w:r>
    </w:p>
    <w:p>
      <w:pPr>
        <w:pStyle w:val="ListParagraph"/>
        <w:numPr>
          <w:ilvl w:val="0"/>
          <w:numId w:val="3"/>
        </w:numPr>
        <w:spacing w:after="80" w:line="276"/>
      </w:pPr>
      <w:r>
        <w:rPr>
          <w:rFonts w:ascii="Arial" w:cs="Arial" w:eastAsia="Arial" w:hAnsi="Arial"/>
          <w:b/>
          <w:bCs/>
          <w:color w:val="1A1A2E"/>
          <w:sz w:val="22"/>
          <w:szCs w:val="22"/>
        </w:rPr>
        <w:t xml:space="preserve">What I did: </w:t>
      </w:r>
      <w:r>
        <w:rPr>
          <w:rFonts w:ascii="Arial" w:cs="Arial" w:eastAsia="Arial" w:hAnsi="Arial"/>
          <w:color w:val="1A1A2E"/>
          <w:sz w:val="22"/>
          <w:szCs w:val="22"/>
        </w:rPr>
        <w:t xml:space="preserve">(brief procedure notes in the student’s own words)</w:t>
      </w:r>
    </w:p>
    <w:p>
      <w:pPr>
        <w:pStyle w:val="ListParagraph"/>
        <w:numPr>
          <w:ilvl w:val="0"/>
          <w:numId w:val="3"/>
        </w:numPr>
        <w:spacing w:after="80" w:line="276"/>
      </w:pPr>
      <w:r>
        <w:rPr>
          <w:rFonts w:ascii="Arial" w:cs="Arial" w:eastAsia="Arial" w:hAnsi="Arial"/>
          <w:b/>
          <w:bCs/>
          <w:color w:val="1A1A2E"/>
          <w:sz w:val="22"/>
          <w:szCs w:val="22"/>
        </w:rPr>
        <w:t xml:space="preserve">What I observed: </w:t>
      </w:r>
      <w:r>
        <w:rPr>
          <w:rFonts w:ascii="Arial" w:cs="Arial" w:eastAsia="Arial" w:hAnsi="Arial"/>
          <w:color w:val="1A1A2E"/>
          <w:sz w:val="22"/>
          <w:szCs w:val="22"/>
        </w:rPr>
        <w:t xml:space="preserve">(raw observations — numbers, sketches, descriptions)</w:t>
      </w:r>
    </w:p>
    <w:p>
      <w:pPr>
        <w:pStyle w:val="ListParagraph"/>
        <w:numPr>
          <w:ilvl w:val="0"/>
          <w:numId w:val="3"/>
        </w:numPr>
        <w:spacing w:after="80" w:line="276"/>
      </w:pPr>
      <w:r>
        <w:rPr>
          <w:rFonts w:ascii="Arial" w:cs="Arial" w:eastAsia="Arial" w:hAnsi="Arial"/>
          <w:b/>
          <w:bCs/>
          <w:color w:val="1A1A2E"/>
          <w:sz w:val="22"/>
          <w:szCs w:val="22"/>
        </w:rPr>
        <w:t xml:space="preserve">What surprised me: </w:t>
      </w:r>
      <w:r>
        <w:rPr>
          <w:rFonts w:ascii="Arial" w:cs="Arial" w:eastAsia="Arial" w:hAnsi="Arial"/>
          <w:color w:val="1A1A2E"/>
          <w:sz w:val="22"/>
          <w:szCs w:val="22"/>
        </w:rPr>
        <w:t xml:space="preserve">(specifically flagging counterintuitive results)</w:t>
      </w:r>
    </w:p>
    <w:p>
      <w:pPr>
        <w:pStyle w:val="ListParagraph"/>
        <w:numPr>
          <w:ilvl w:val="0"/>
          <w:numId w:val="3"/>
        </w:numPr>
        <w:spacing w:after="80" w:line="276"/>
      </w:pPr>
      <w:r>
        <w:rPr>
          <w:rFonts w:ascii="Arial" w:cs="Arial" w:eastAsia="Arial" w:hAnsi="Arial"/>
          <w:b/>
          <w:bCs/>
          <w:color w:val="1A1A2E"/>
          <w:sz w:val="22"/>
          <w:szCs w:val="22"/>
        </w:rPr>
        <w:t xml:space="preserve">New terms I learned: </w:t>
      </w:r>
      <w:r>
        <w:rPr>
          <w:rFonts w:ascii="Arial" w:cs="Arial" w:eastAsia="Arial" w:hAnsi="Arial"/>
          <w:color w:val="1A1A2E"/>
          <w:sz w:val="22"/>
          <w:szCs w:val="22"/>
        </w:rPr>
        <w:t xml:space="preserve">(list, with module reference)</w:t>
      </w:r>
    </w:p>
    <w:p>
      <w:pPr>
        <w:spacing w:after="60"/>
      </w:pPr>
    </w:p>
    <w:p>
      <w:pPr>
        <w:pStyle w:val="Heading2"/>
      </w:pPr>
      <w:r>
        <w:t xml:space="preserve">9.2 Relationship Between Notebook and Report</w:t>
      </w:r>
    </w:p>
    <w:p>
      <w:pPr>
        <w:spacing w:after="120" w:line="276"/>
      </w:pPr>
      <w:r>
        <w:rPr>
          <w:rFonts w:ascii="Arial" w:cs="Arial" w:eastAsia="Arial" w:hAnsi="Arial"/>
          <w:color w:val="1A1A2E"/>
          <w:sz w:val="22"/>
          <w:szCs w:val="22"/>
        </w:rPr>
        <w:t xml:space="preserve">The notebook is a working document used during the experiment. It is messy, informal, and immediate. The research report is written after the experiment is complete, using the notebook as source material. This two-step process — raw capture followed by structured interpretation — mirrors actual scientific practice and trains the student to distinguish between data collection and data analysis.</w:t>
      </w:r>
    </w:p>
    <w:p>
      <w:pPr>
        <w:spacing w:after="120" w:line="276"/>
      </w:pPr>
      <w:r>
        <w:rPr>
          <w:rFonts w:ascii="Arial" w:cs="Arial" w:eastAsia="Arial" w:hAnsi="Arial"/>
          <w:color w:val="1A1A2E"/>
          <w:sz w:val="22"/>
          <w:szCs w:val="22"/>
        </w:rPr>
        <w:t xml:space="preserve">For ADHD learners, the act of writing by hand (if possible) during the experiment improves encoding and provides a physical anchor for the experience. The notebook should feel like a scratch pad, not an assignment.</w:t>
      </w:r>
    </w:p>
    <w:p>
      <w:pPr>
        <w:pStyle w:val="Heading1"/>
      </w:pPr>
      <w:r>
        <w:t xml:space="preserve">10. Next Steps</w:t>
      </w:r>
    </w:p>
    <w:p>
      <w:pPr>
        <w:pStyle w:val="Heading2"/>
      </w:pPr>
      <w:r>
        <w:t xml:space="preserve">10.1 Proof of Concept</w:t>
      </w:r>
    </w:p>
    <w:p>
      <w:pPr>
        <w:spacing w:after="120" w:line="276"/>
      </w:pPr>
      <w:r>
        <w:rPr>
          <w:rFonts w:ascii="Arial" w:cs="Arial" w:eastAsia="Arial" w:hAnsi="Arial"/>
          <w:color w:val="1A1A2E"/>
          <w:sz w:val="22"/>
          <w:szCs w:val="22"/>
        </w:rPr>
        <w:t xml:space="preserve">Build Module C2 (“Can You Make a Battery from Fruit?”) as the first complete module, fully implementing:</w:t>
      </w:r>
    </w:p>
    <w:p>
      <w:pPr>
        <w:pStyle w:val="ListParagraph"/>
        <w:numPr>
          <w:ilvl w:val="0"/>
          <w:numId w:val="3"/>
        </w:numPr>
        <w:spacing w:after="80" w:line="276"/>
      </w:pPr>
      <w:r>
        <w:rPr>
          <w:rFonts w:ascii="Arial" w:cs="Arial" w:eastAsia="Arial" w:hAnsi="Arial"/>
          <w:color w:val="1A1A2E"/>
          <w:sz w:val="22"/>
          <w:szCs w:val="22"/>
        </w:rPr>
        <w:t xml:space="preserve">All nine components of the module template (Section 2)</w:t>
      </w:r>
    </w:p>
    <w:p>
      <w:pPr>
        <w:pStyle w:val="ListParagraph"/>
        <w:numPr>
          <w:ilvl w:val="0"/>
          <w:numId w:val="3"/>
        </w:numPr>
        <w:spacing w:after="80" w:line="276"/>
      </w:pPr>
      <w:r>
        <w:rPr>
          <w:rFonts w:ascii="Arial" w:cs="Arial" w:eastAsia="Arial" w:hAnsi="Arial"/>
          <w:color w:val="1A1A2E"/>
          <w:sz w:val="22"/>
          <w:szCs w:val="22"/>
        </w:rPr>
        <w:t xml:space="preserve">Phase 1 Method Sidebar scaffolding (Section 4)</w:t>
      </w:r>
    </w:p>
    <w:p>
      <w:pPr>
        <w:pStyle w:val="ListParagraph"/>
        <w:numPr>
          <w:ilvl w:val="0"/>
          <w:numId w:val="3"/>
        </w:numPr>
        <w:spacing w:after="80" w:line="276"/>
      </w:pPr>
      <w:r>
        <w:rPr>
          <w:rFonts w:ascii="Arial" w:cs="Arial" w:eastAsia="Arial" w:hAnsi="Arial"/>
          <w:color w:val="1A1A2E"/>
          <w:sz w:val="22"/>
          <w:szCs w:val="22"/>
        </w:rPr>
        <w:t xml:space="preserve">Full scientific terminology introduced at point of observation (Section 3)</w:t>
      </w:r>
    </w:p>
    <w:p>
      <w:pPr>
        <w:pStyle w:val="ListParagraph"/>
        <w:numPr>
          <w:ilvl w:val="0"/>
          <w:numId w:val="3"/>
        </w:numPr>
        <w:spacing w:after="80" w:line="276"/>
      </w:pPr>
      <w:r>
        <w:rPr>
          <w:rFonts w:ascii="Arial" w:cs="Arial" w:eastAsia="Arial" w:hAnsi="Arial"/>
          <w:color w:val="1A1A2E"/>
          <w:sz w:val="22"/>
          <w:szCs w:val="22"/>
        </w:rPr>
        <w:t xml:space="preserve">Living glossary entries (Section 5)</w:t>
      </w:r>
    </w:p>
    <w:p>
      <w:pPr>
        <w:pStyle w:val="ListParagraph"/>
        <w:numPr>
          <w:ilvl w:val="0"/>
          <w:numId w:val="3"/>
        </w:numPr>
        <w:spacing w:after="80" w:line="276"/>
      </w:pPr>
      <w:r>
        <w:rPr>
          <w:rFonts w:ascii="Arial" w:cs="Arial" w:eastAsia="Arial" w:hAnsi="Arial"/>
          <w:color w:val="1A1A2E"/>
          <w:sz w:val="22"/>
          <w:szCs w:val="22"/>
        </w:rPr>
        <w:t xml:space="preserve">Phase 1 guided research report with all six sections (Section 8)</w:t>
      </w:r>
    </w:p>
    <w:p>
      <w:pPr>
        <w:pStyle w:val="ListParagraph"/>
        <w:numPr>
          <w:ilvl w:val="0"/>
          <w:numId w:val="3"/>
        </w:numPr>
        <w:spacing w:after="80" w:line="276"/>
      </w:pPr>
      <w:r>
        <w:rPr>
          <w:rFonts w:ascii="Arial" w:cs="Arial" w:eastAsia="Arial" w:hAnsi="Arial"/>
          <w:color w:val="1A1A2E"/>
          <w:sz w:val="22"/>
          <w:szCs w:val="22"/>
        </w:rPr>
        <w:t xml:space="preserve">Lab notebook prompt (Section 9)</w:t>
      </w:r>
    </w:p>
    <w:p>
      <w:pPr>
        <w:pStyle w:val="ListParagraph"/>
        <w:numPr>
          <w:ilvl w:val="0"/>
          <w:numId w:val="3"/>
        </w:numPr>
        <w:spacing w:after="80" w:line="276"/>
      </w:pPr>
      <w:r>
        <w:rPr>
          <w:rFonts w:ascii="Arial" w:cs="Arial" w:eastAsia="Arial" w:hAnsi="Arial"/>
          <w:color w:val="1A1A2E"/>
          <w:sz w:val="22"/>
          <w:szCs w:val="22"/>
        </w:rPr>
        <w:t xml:space="preserve">Interactive digital report tool prototype (Section 8.5)</w:t>
      </w:r>
    </w:p>
    <w:p>
      <w:pPr>
        <w:spacing w:after="60"/>
      </w:pPr>
    </w:p>
    <w:p>
      <w:pPr>
        <w:pStyle w:val="Heading2"/>
      </w:pPr>
      <w:r>
        <w:t xml:space="preserve">10.2 Validation Criteria</w:t>
      </w:r>
    </w:p>
    <w:p>
      <w:pPr>
        <w:spacing w:after="120" w:line="276"/>
      </w:pPr>
      <w:r>
        <w:rPr>
          <w:rFonts w:ascii="Arial" w:cs="Arial" w:eastAsia="Arial" w:hAnsi="Arial"/>
          <w:color w:val="1A1A2E"/>
          <w:sz w:val="22"/>
          <w:szCs w:val="22"/>
        </w:rPr>
        <w:t xml:space="preserve">The proof of concept is successful if:</w:t>
      </w:r>
    </w:p>
    <w:p>
      <w:pPr>
        <w:pStyle w:val="ListParagraph"/>
        <w:numPr>
          <w:ilvl w:val="0"/>
          <w:numId w:val="4"/>
        </w:numPr>
        <w:spacing w:after="80" w:line="276"/>
      </w:pPr>
      <w:r>
        <w:rPr>
          <w:rFonts w:ascii="Arial" w:cs="Arial" w:eastAsia="Arial" w:hAnsi="Arial"/>
          <w:color w:val="1A1A2E"/>
          <w:sz w:val="22"/>
          <w:szCs w:val="22"/>
        </w:rPr>
        <w:t xml:space="preserve">A 16-year-old can complete the experiment in 25–40 minutes without adult intervention beyond safety supervision.</w:t>
      </w:r>
    </w:p>
    <w:p>
      <w:pPr>
        <w:pStyle w:val="ListParagraph"/>
        <w:numPr>
          <w:ilvl w:val="0"/>
          <w:numId w:val="4"/>
        </w:numPr>
        <w:spacing w:after="80" w:line="276"/>
      </w:pPr>
      <w:r>
        <w:rPr>
          <w:rFonts w:ascii="Arial" w:cs="Arial" w:eastAsia="Arial" w:hAnsi="Arial"/>
          <w:color w:val="1A1A2E"/>
          <w:sz w:val="22"/>
          <w:szCs w:val="22"/>
        </w:rPr>
        <w:t xml:space="preserve">The student can correctly use at least 3 of the 5 introduced terms in a sentence immediately after completion.</w:t>
      </w:r>
    </w:p>
    <w:p>
      <w:pPr>
        <w:pStyle w:val="ListParagraph"/>
        <w:numPr>
          <w:ilvl w:val="0"/>
          <w:numId w:val="4"/>
        </w:numPr>
        <w:spacing w:after="80" w:line="276"/>
      </w:pPr>
      <w:r>
        <w:rPr>
          <w:rFonts w:ascii="Arial" w:cs="Arial" w:eastAsia="Arial" w:hAnsi="Arial"/>
          <w:color w:val="1A1A2E"/>
          <w:sz w:val="22"/>
          <w:szCs w:val="22"/>
        </w:rPr>
        <w:t xml:space="preserve">The student can identify at least one variable they could change and predict what would happen.</w:t>
      </w:r>
    </w:p>
    <w:p>
      <w:pPr>
        <w:pStyle w:val="ListParagraph"/>
        <w:numPr>
          <w:ilvl w:val="0"/>
          <w:numId w:val="4"/>
        </w:numPr>
        <w:spacing w:after="80" w:line="276"/>
      </w:pPr>
      <w:r>
        <w:rPr>
          <w:rFonts w:ascii="Arial" w:cs="Arial" w:eastAsia="Arial" w:hAnsi="Arial"/>
          <w:color w:val="1A1A2E"/>
          <w:sz w:val="22"/>
          <w:szCs w:val="22"/>
        </w:rPr>
        <w:t xml:space="preserve">The student voluntarily attempts Challenge Mode (engagement indicator).</w:t>
      </w:r>
    </w:p>
    <w:p>
      <w:pPr>
        <w:pStyle w:val="ListParagraph"/>
        <w:numPr>
          <w:ilvl w:val="0"/>
          <w:numId w:val="4"/>
        </w:numPr>
        <w:spacing w:after="80" w:line="276"/>
      </w:pPr>
      <w:r>
        <w:rPr>
          <w:rFonts w:ascii="Arial" w:cs="Arial" w:eastAsia="Arial" w:hAnsi="Arial"/>
          <w:color w:val="1A1A2E"/>
          <w:sz w:val="22"/>
          <w:szCs w:val="22"/>
        </w:rPr>
        <w:t xml:space="preserve">The student completes the research report using the digital tool within 15–20 minutes.</w:t>
      </w:r>
    </w:p>
    <w:p>
      <w:pPr>
        <w:pStyle w:val="ListParagraph"/>
        <w:numPr>
          <w:ilvl w:val="0"/>
          <w:numId w:val="4"/>
        </w:numPr>
        <w:spacing w:after="80" w:line="276"/>
      </w:pPr>
      <w:r>
        <w:rPr>
          <w:rFonts w:ascii="Arial" w:cs="Arial" w:eastAsia="Arial" w:hAnsi="Arial"/>
          <w:color w:val="1A1A2E"/>
          <w:sz w:val="22"/>
          <w:szCs w:val="22"/>
        </w:rPr>
        <w:t xml:space="preserve">The research report’s Analysis section contains at least 2 scientific terms used correctly and references specific data from the Results.</w:t>
      </w:r>
    </w:p>
    <w:p>
      <w:pPr>
        <w:spacing w:after="60"/>
      </w:pPr>
    </w:p>
    <w:p>
      <w:pPr>
        <w:pStyle w:val="Heading2"/>
      </w:pPr>
      <w:r>
        <w:t xml:space="preserve">10.3 Iteration Plan</w:t>
      </w:r>
    </w:p>
    <w:p>
      <w:pPr>
        <w:spacing w:after="120" w:line="276"/>
      </w:pPr>
      <w:r>
        <w:rPr>
          <w:rFonts w:ascii="Arial" w:cs="Arial" w:eastAsia="Arial" w:hAnsi="Arial"/>
          <w:color w:val="1A1A2E"/>
          <w:sz w:val="22"/>
          <w:szCs w:val="22"/>
        </w:rPr>
        <w:t xml:space="preserve">After the proof of concept:</w:t>
      </w:r>
    </w:p>
    <w:p>
      <w:pPr>
        <w:pStyle w:val="ListParagraph"/>
        <w:numPr>
          <w:ilvl w:val="0"/>
          <w:numId w:val="5"/>
        </w:numPr>
        <w:spacing w:after="80" w:line="276"/>
      </w:pPr>
      <w:r>
        <w:rPr>
          <w:rFonts w:ascii="Arial" w:cs="Arial" w:eastAsia="Arial" w:hAnsi="Arial"/>
          <w:color w:val="1A1A2E"/>
          <w:sz w:val="22"/>
          <w:szCs w:val="22"/>
        </w:rPr>
        <w:t xml:space="preserve">Test with target learner. Observe, do not instruct. Note where they stall, skip, or lose interest — in both the experiment and the report.</w:t>
      </w:r>
    </w:p>
    <w:p>
      <w:pPr>
        <w:pStyle w:val="ListParagraph"/>
        <w:numPr>
          <w:ilvl w:val="0"/>
          <w:numId w:val="5"/>
        </w:numPr>
        <w:spacing w:after="80" w:line="276"/>
      </w:pPr>
      <w:r>
        <w:rPr>
          <w:rFonts w:ascii="Arial" w:cs="Arial" w:eastAsia="Arial" w:hAnsi="Arial"/>
          <w:color w:val="1A1A2E"/>
          <w:sz w:val="22"/>
          <w:szCs w:val="22"/>
        </w:rPr>
        <w:t xml:space="preserve">Revise the module template and report scaffolding based on observations.</w:t>
      </w:r>
    </w:p>
    <w:p>
      <w:pPr>
        <w:pStyle w:val="ListParagraph"/>
        <w:numPr>
          <w:ilvl w:val="0"/>
          <w:numId w:val="5"/>
        </w:numPr>
        <w:spacing w:after="80" w:line="276"/>
      </w:pPr>
      <w:r>
        <w:rPr>
          <w:rFonts w:ascii="Arial" w:cs="Arial" w:eastAsia="Arial" w:hAnsi="Arial"/>
          <w:color w:val="1A1A2E"/>
          <w:sz w:val="22"/>
          <w:szCs w:val="22"/>
        </w:rPr>
        <w:t xml:space="preserve">Build modules C1, P1, and B1 (the three Tier 1 entry points) to test cross-subject consistency.</w:t>
      </w:r>
    </w:p>
    <w:p>
      <w:pPr>
        <w:pStyle w:val="ListParagraph"/>
        <w:numPr>
          <w:ilvl w:val="0"/>
          <w:numId w:val="5"/>
        </w:numPr>
        <w:spacing w:after="80" w:line="276"/>
      </w:pPr>
      <w:r>
        <w:rPr>
          <w:rFonts w:ascii="Arial" w:cs="Arial" w:eastAsia="Arial" w:hAnsi="Arial"/>
          <w:color w:val="1A1A2E"/>
          <w:sz w:val="22"/>
          <w:szCs w:val="22"/>
        </w:rPr>
        <w:t xml:space="preserve">Revise this spec based on what those four modules reveal.</w:t>
      </w:r>
    </w:p>
    <w:p>
      <w:pPr>
        <w:pStyle w:val="ListParagraph"/>
        <w:numPr>
          <w:ilvl w:val="0"/>
          <w:numId w:val="5"/>
        </w:numPr>
        <w:spacing w:after="80" w:line="276"/>
      </w:pPr>
      <w:r>
        <w:rPr>
          <w:rFonts w:ascii="Arial" w:cs="Arial" w:eastAsia="Arial" w:hAnsi="Arial"/>
          <w:color w:val="1A1A2E"/>
          <w:sz w:val="22"/>
          <w:szCs w:val="22"/>
        </w:rPr>
        <w:t xml:space="preserve">Build remaining Tier 1 modules. Then Tier 2. Then Tier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888888"/>
        <w:sz w:val="18"/>
        <w:szCs w:val="18"/>
      </w:rPr>
      <w:t xml:space="preserve">Experiment-First Science Curriculum</w:t>
    </w:r>
    <w:r>
      <w:rPr>
        <w:rFonts w:ascii="Arial" w:cs="Arial" w:eastAsia="Arial" w:hAnsi="Arial"/>
        <w:i/>
        <w:iCs/>
        <w:color w:val="888888"/>
        <w:sz w:val="18"/>
        <w:szCs w:val="18"/>
      </w:rPr>
      <w:t xml:space="preserve">	Draft Specification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2026-03-16T16:08:00.417Z</dcterms:created>
  <dcterms:modified xsi:type="dcterms:W3CDTF">2026-03-16T16:08:00.417Z</dcterms:modified>
</cp:coreProperties>
</file>

<file path=docProps/custom.xml><?xml version="1.0" encoding="utf-8"?>
<Properties xmlns="http://schemas.openxmlformats.org/officeDocument/2006/custom-properties" xmlns:vt="http://schemas.openxmlformats.org/officeDocument/2006/docPropsVTypes"/>
</file>