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BF36C" w14:textId="77777777" w:rsidR="0020373D" w:rsidRDefault="0020373D" w:rsidP="00436B28">
      <w:pPr>
        <w:spacing w:line="480" w:lineRule="auto"/>
        <w:rPr>
          <w:b/>
          <w:bCs/>
          <w:szCs w:val="24"/>
        </w:rPr>
      </w:pPr>
      <w:r w:rsidRPr="0020373D">
        <w:rPr>
          <w:b/>
          <w:bCs/>
          <w:szCs w:val="24"/>
        </w:rPr>
        <w:t>The</w:t>
      </w:r>
      <w:r>
        <w:rPr>
          <w:b/>
          <w:bCs/>
          <w:szCs w:val="24"/>
        </w:rPr>
        <w:t xml:space="preserve"> </w:t>
      </w:r>
      <w:r w:rsidRPr="0020373D">
        <w:rPr>
          <w:b/>
          <w:bCs/>
          <w:szCs w:val="24"/>
        </w:rPr>
        <w:t>effects</w:t>
      </w:r>
      <w:r>
        <w:rPr>
          <w:b/>
          <w:bCs/>
          <w:szCs w:val="24"/>
        </w:rPr>
        <w:t xml:space="preserve"> </w:t>
      </w:r>
      <w:r w:rsidRPr="0020373D">
        <w:rPr>
          <w:b/>
          <w:bCs/>
          <w:szCs w:val="24"/>
        </w:rPr>
        <w:t>of</w:t>
      </w:r>
      <w:r>
        <w:rPr>
          <w:b/>
          <w:bCs/>
          <w:szCs w:val="24"/>
        </w:rPr>
        <w:t xml:space="preserve"> </w:t>
      </w:r>
      <w:r w:rsidRPr="0020373D">
        <w:rPr>
          <w:b/>
          <w:bCs/>
          <w:szCs w:val="24"/>
        </w:rPr>
        <w:t>NAFTA</w:t>
      </w:r>
      <w:r>
        <w:rPr>
          <w:b/>
          <w:bCs/>
          <w:szCs w:val="24"/>
        </w:rPr>
        <w:t xml:space="preserve"> </w:t>
      </w:r>
      <w:r w:rsidRPr="0020373D">
        <w:rPr>
          <w:b/>
          <w:bCs/>
          <w:szCs w:val="24"/>
        </w:rPr>
        <w:t>on</w:t>
      </w:r>
      <w:r>
        <w:rPr>
          <w:b/>
          <w:bCs/>
          <w:szCs w:val="24"/>
        </w:rPr>
        <w:t xml:space="preserve"> </w:t>
      </w:r>
      <w:r w:rsidRPr="0020373D">
        <w:rPr>
          <w:b/>
          <w:bCs/>
          <w:szCs w:val="24"/>
        </w:rPr>
        <w:t>the</w:t>
      </w:r>
      <w:r>
        <w:rPr>
          <w:b/>
          <w:bCs/>
          <w:szCs w:val="24"/>
        </w:rPr>
        <w:t xml:space="preserve"> </w:t>
      </w:r>
      <w:r w:rsidRPr="0020373D">
        <w:rPr>
          <w:b/>
          <w:bCs/>
          <w:szCs w:val="24"/>
        </w:rPr>
        <w:t>Mexican</w:t>
      </w:r>
      <w:r>
        <w:rPr>
          <w:b/>
          <w:bCs/>
          <w:szCs w:val="24"/>
        </w:rPr>
        <w:t xml:space="preserve"> </w:t>
      </w:r>
      <w:r w:rsidRPr="0020373D">
        <w:rPr>
          <w:b/>
          <w:bCs/>
          <w:szCs w:val="24"/>
        </w:rPr>
        <w:t>Agricultural</w:t>
      </w:r>
      <w:r>
        <w:rPr>
          <w:b/>
          <w:bCs/>
          <w:szCs w:val="24"/>
        </w:rPr>
        <w:t xml:space="preserve"> </w:t>
      </w:r>
      <w:r w:rsidRPr="0020373D">
        <w:rPr>
          <w:b/>
          <w:bCs/>
          <w:szCs w:val="24"/>
        </w:rPr>
        <w:t>and</w:t>
      </w:r>
      <w:r>
        <w:rPr>
          <w:b/>
          <w:bCs/>
          <w:szCs w:val="24"/>
        </w:rPr>
        <w:t xml:space="preserve"> </w:t>
      </w:r>
      <w:r w:rsidRPr="0020373D">
        <w:rPr>
          <w:b/>
          <w:bCs/>
          <w:szCs w:val="24"/>
        </w:rPr>
        <w:t>Industrial</w:t>
      </w:r>
      <w:r>
        <w:rPr>
          <w:b/>
          <w:bCs/>
          <w:szCs w:val="24"/>
        </w:rPr>
        <w:t xml:space="preserve"> </w:t>
      </w:r>
      <w:r w:rsidRPr="0020373D">
        <w:rPr>
          <w:b/>
          <w:bCs/>
          <w:szCs w:val="24"/>
        </w:rPr>
        <w:t>Sectors</w:t>
      </w:r>
      <w:r w:rsidRPr="00436B28">
        <w:rPr>
          <w:b/>
          <w:bCs/>
          <w:szCs w:val="24"/>
        </w:rPr>
        <w:t xml:space="preserve"> </w:t>
      </w:r>
    </w:p>
    <w:p w14:paraId="429245A9" w14:textId="229759C7" w:rsidR="00436B28" w:rsidRPr="00436B28" w:rsidRDefault="00436B28" w:rsidP="00436B28">
      <w:pPr>
        <w:spacing w:line="480" w:lineRule="auto"/>
        <w:rPr>
          <w:b/>
          <w:bCs/>
          <w:szCs w:val="24"/>
        </w:rPr>
      </w:pPr>
      <w:r w:rsidRPr="00436B28">
        <w:rPr>
          <w:b/>
          <w:bCs/>
          <w:szCs w:val="24"/>
        </w:rPr>
        <w:t>Miguel Dominguez</w:t>
      </w:r>
    </w:p>
    <w:p w14:paraId="0087413C" w14:textId="77777777" w:rsidR="00436B28" w:rsidRPr="00436B28" w:rsidRDefault="00436B28" w:rsidP="00436B28">
      <w:pPr>
        <w:spacing w:line="480" w:lineRule="auto"/>
        <w:rPr>
          <w:szCs w:val="24"/>
        </w:rPr>
      </w:pPr>
      <w:r w:rsidRPr="00436B28">
        <w:rPr>
          <w:b/>
          <w:bCs/>
          <w:szCs w:val="24"/>
        </w:rPr>
        <w:t>California State Polytechnic University, Pomona</w:t>
      </w:r>
    </w:p>
    <w:p w14:paraId="5FDE504B" w14:textId="77777777" w:rsidR="00436B28" w:rsidRPr="00436B28" w:rsidRDefault="00436B28" w:rsidP="00436B28">
      <w:pPr>
        <w:spacing w:line="480" w:lineRule="auto"/>
        <w:rPr>
          <w:szCs w:val="24"/>
        </w:rPr>
      </w:pPr>
      <w:r w:rsidRPr="00436B28">
        <w:rPr>
          <w:b/>
          <w:bCs/>
          <w:szCs w:val="24"/>
        </w:rPr>
        <w:t>Abstract</w:t>
      </w:r>
    </w:p>
    <w:p w14:paraId="6EBB419C" w14:textId="59F8D08C" w:rsidR="00436B28" w:rsidRPr="00E43087" w:rsidRDefault="000C7976" w:rsidP="000C7976">
      <w:pPr>
        <w:spacing w:line="480" w:lineRule="auto"/>
        <w:ind w:firstLine="720"/>
        <w:rPr>
          <w:szCs w:val="24"/>
        </w:rPr>
      </w:pPr>
      <w:r w:rsidRPr="00E43087">
        <w:rPr>
          <w:szCs w:val="24"/>
        </w:rPr>
        <w:t xml:space="preserve">This paper will review the economic impacts within the agriculture and manufacturing sectors in Mexico post NAFTA implementation. It was found that the agreement </w:t>
      </w:r>
      <w:r w:rsidR="00EA72C1">
        <w:rPr>
          <w:szCs w:val="24"/>
        </w:rPr>
        <w:t xml:space="preserve">may have </w:t>
      </w:r>
      <w:r w:rsidRPr="00E43087">
        <w:rPr>
          <w:szCs w:val="24"/>
        </w:rPr>
        <w:t xml:space="preserve">kept Mexico labor rich while the United States continued to increase its capital across the same time period. </w:t>
      </w:r>
      <w:r w:rsidR="00655CE6" w:rsidRPr="00E43087">
        <w:rPr>
          <w:szCs w:val="24"/>
        </w:rPr>
        <w:t xml:space="preserve">This paper will add to the body of research measuring the wage changes </w:t>
      </w:r>
      <w:r w:rsidR="00CE5AA7" w:rsidRPr="00E43087">
        <w:rPr>
          <w:szCs w:val="24"/>
        </w:rPr>
        <w:t xml:space="preserve">in </w:t>
      </w:r>
      <w:r w:rsidR="00655CE6" w:rsidRPr="00E43087">
        <w:rPr>
          <w:szCs w:val="24"/>
        </w:rPr>
        <w:t xml:space="preserve">the </w:t>
      </w:r>
      <w:r w:rsidR="009A569B" w:rsidRPr="00E43087">
        <w:rPr>
          <w:szCs w:val="24"/>
        </w:rPr>
        <w:t>low-income</w:t>
      </w:r>
      <w:r w:rsidR="00655CE6" w:rsidRPr="00E43087">
        <w:rPr>
          <w:szCs w:val="24"/>
        </w:rPr>
        <w:t xml:space="preserve"> country of Mexico after </w:t>
      </w:r>
      <w:r w:rsidR="00192EDC" w:rsidRPr="00E43087">
        <w:rPr>
          <w:szCs w:val="24"/>
        </w:rPr>
        <w:t xml:space="preserve">using updated primary </w:t>
      </w:r>
      <w:r w:rsidR="003102BD" w:rsidRPr="00E43087">
        <w:rPr>
          <w:szCs w:val="24"/>
        </w:rPr>
        <w:t>figures gathered by the Mexican government.</w:t>
      </w:r>
    </w:p>
    <w:p w14:paraId="20D0E659" w14:textId="77777777" w:rsidR="00436B28" w:rsidRPr="00436B28" w:rsidRDefault="00436B28" w:rsidP="00436B28">
      <w:pPr>
        <w:spacing w:line="480" w:lineRule="auto"/>
        <w:rPr>
          <w:b/>
          <w:bCs/>
          <w:szCs w:val="24"/>
        </w:rPr>
      </w:pPr>
      <w:r w:rsidRPr="00436B28">
        <w:rPr>
          <w:b/>
          <w:bCs/>
          <w:szCs w:val="24"/>
        </w:rPr>
        <w:t>Key Words</w:t>
      </w:r>
    </w:p>
    <w:p w14:paraId="0921B4BC" w14:textId="5104B159" w:rsidR="00436B28" w:rsidRPr="00436B28" w:rsidRDefault="00436B28" w:rsidP="00436B28">
      <w:pPr>
        <w:spacing w:line="480" w:lineRule="auto"/>
        <w:rPr>
          <w:szCs w:val="24"/>
        </w:rPr>
      </w:pPr>
      <w:r w:rsidRPr="00436B28">
        <w:rPr>
          <w:szCs w:val="24"/>
        </w:rPr>
        <w:t xml:space="preserve">NAFTA, Heckscher-Ohlin, International Trade, Factor </w:t>
      </w:r>
      <w:r w:rsidR="001B254F">
        <w:rPr>
          <w:szCs w:val="24"/>
        </w:rPr>
        <w:t>Proportions</w:t>
      </w:r>
    </w:p>
    <w:p w14:paraId="6D1F3FF3" w14:textId="77777777" w:rsidR="00436B28" w:rsidRPr="00436B28" w:rsidRDefault="00436B28" w:rsidP="00436B28">
      <w:pPr>
        <w:spacing w:line="480" w:lineRule="auto"/>
        <w:rPr>
          <w:szCs w:val="24"/>
        </w:rPr>
      </w:pPr>
    </w:p>
    <w:p w14:paraId="62E53B32" w14:textId="77777777" w:rsidR="00436B28" w:rsidRPr="00436B28" w:rsidRDefault="00436B28" w:rsidP="00436B28">
      <w:pPr>
        <w:spacing w:line="480" w:lineRule="auto"/>
        <w:rPr>
          <w:szCs w:val="24"/>
        </w:rPr>
      </w:pPr>
      <w:r w:rsidRPr="00436B28">
        <w:rPr>
          <w:b/>
          <w:bCs/>
          <w:szCs w:val="24"/>
        </w:rPr>
        <w:t>JEL Classification Codes</w:t>
      </w:r>
    </w:p>
    <w:p w14:paraId="60D80F72" w14:textId="7B2A608E" w:rsidR="00436B28" w:rsidRDefault="00436B28" w:rsidP="00182974">
      <w:pPr>
        <w:spacing w:line="480" w:lineRule="auto"/>
        <w:rPr>
          <w:szCs w:val="24"/>
        </w:rPr>
      </w:pPr>
      <w:r w:rsidRPr="00436B28">
        <w:rPr>
          <w:szCs w:val="24"/>
        </w:rPr>
        <w:t>F11, F16</w:t>
      </w:r>
      <w:r>
        <w:rPr>
          <w:szCs w:val="24"/>
        </w:rPr>
        <w:br w:type="page"/>
      </w:r>
    </w:p>
    <w:p w14:paraId="5785BE4B" w14:textId="77777777" w:rsidR="00436B28" w:rsidRPr="00436B28" w:rsidRDefault="00436B28" w:rsidP="00436B28">
      <w:pPr>
        <w:spacing w:line="480" w:lineRule="auto"/>
        <w:rPr>
          <w:b/>
          <w:bCs/>
          <w:szCs w:val="24"/>
        </w:rPr>
      </w:pPr>
      <w:r w:rsidRPr="00436B28">
        <w:rPr>
          <w:b/>
          <w:bCs/>
          <w:szCs w:val="24"/>
        </w:rPr>
        <w:lastRenderedPageBreak/>
        <w:t>Introduction</w:t>
      </w:r>
    </w:p>
    <w:p w14:paraId="654A91CC" w14:textId="61E5A4D6" w:rsidR="00B51A2B" w:rsidRDefault="00436B28" w:rsidP="00B93FCA">
      <w:pPr>
        <w:spacing w:line="480" w:lineRule="auto"/>
        <w:ind w:firstLine="720"/>
        <w:rPr>
          <w:szCs w:val="24"/>
        </w:rPr>
      </w:pPr>
      <w:r w:rsidRPr="00436B28">
        <w:rPr>
          <w:szCs w:val="24"/>
        </w:rPr>
        <w:t>Under the classical assumption of the Ricardian model for trade, comparative advantage could only arise from international labor productivity differentials.</w:t>
      </w:r>
      <w:r w:rsidR="000B0ED6">
        <w:rPr>
          <w:szCs w:val="24"/>
        </w:rPr>
        <w:t xml:space="preserve"> </w:t>
      </w:r>
      <w:r w:rsidRPr="00436B28">
        <w:rPr>
          <w:szCs w:val="24"/>
        </w:rPr>
        <w:t xml:space="preserve">The Heckscher-Ohlin theory established that international trade is </w:t>
      </w:r>
      <w:r w:rsidR="00F8224B" w:rsidRPr="00436B28">
        <w:rPr>
          <w:szCs w:val="24"/>
        </w:rPr>
        <w:t>driven</w:t>
      </w:r>
      <w:r w:rsidRPr="00436B28">
        <w:rPr>
          <w:szCs w:val="24"/>
        </w:rPr>
        <w:t xml:space="preserve"> by differences in countries’ resources. Countries with a comparative advantage in resource abundance and factor intensity will trade along these advantages and benefit by expanding their consumption possibilities. </w:t>
      </w:r>
      <w:r w:rsidR="00B51A2B">
        <w:rPr>
          <w:szCs w:val="24"/>
        </w:rPr>
        <w:t>Using</w:t>
      </w:r>
      <w:r w:rsidR="00B51A2B" w:rsidRPr="00436B28">
        <w:rPr>
          <w:szCs w:val="24"/>
        </w:rPr>
        <w:t xml:space="preserve"> the Heckscher-Ohlin framework, also known as the Factor </w:t>
      </w:r>
      <w:r w:rsidR="00B51A2B">
        <w:rPr>
          <w:szCs w:val="24"/>
        </w:rPr>
        <w:t>Proportions model</w:t>
      </w:r>
      <w:r w:rsidR="00B51A2B" w:rsidRPr="00436B28">
        <w:rPr>
          <w:szCs w:val="24"/>
        </w:rPr>
        <w:t xml:space="preserve">, </w:t>
      </w:r>
      <w:r w:rsidR="00B51A2B">
        <w:rPr>
          <w:szCs w:val="24"/>
        </w:rPr>
        <w:t>an analysis of the factor endowments between the United States and Mexico w</w:t>
      </w:r>
      <w:r w:rsidR="00F8224B">
        <w:rPr>
          <w:szCs w:val="24"/>
        </w:rPr>
        <w:t>as</w:t>
      </w:r>
      <w:r w:rsidR="00B51A2B">
        <w:rPr>
          <w:szCs w:val="24"/>
        </w:rPr>
        <w:t xml:space="preserve"> conducted. It is believed that NAFTA created an economic incentive to keep the relative factor abundance in Mexico stable </w:t>
      </w:r>
      <w:r w:rsidR="0022166B">
        <w:rPr>
          <w:szCs w:val="24"/>
        </w:rPr>
        <w:t>with</w:t>
      </w:r>
      <w:r w:rsidR="00B51A2B">
        <w:rPr>
          <w:szCs w:val="24"/>
        </w:rPr>
        <w:t>in the</w:t>
      </w:r>
      <w:r w:rsidR="0022166B">
        <w:rPr>
          <w:szCs w:val="24"/>
        </w:rPr>
        <w:t xml:space="preserve"> same</w:t>
      </w:r>
      <w:r w:rsidR="00B51A2B">
        <w:rPr>
          <w:szCs w:val="24"/>
        </w:rPr>
        <w:t xml:space="preserve"> time period. </w:t>
      </w:r>
    </w:p>
    <w:p w14:paraId="62311DFC" w14:textId="095726D0" w:rsidR="00436B28" w:rsidRPr="00436B28" w:rsidRDefault="00436B28" w:rsidP="00B93FCA">
      <w:pPr>
        <w:spacing w:line="480" w:lineRule="auto"/>
        <w:ind w:firstLine="720"/>
        <w:rPr>
          <w:szCs w:val="24"/>
        </w:rPr>
      </w:pPr>
      <w:r w:rsidRPr="00436B28">
        <w:rPr>
          <w:szCs w:val="24"/>
        </w:rPr>
        <w:t>It is generally well understood that the United States is a capital rich country while Mexico is a labor rich nation. With this</w:t>
      </w:r>
      <w:r w:rsidR="00982B1F">
        <w:rPr>
          <w:szCs w:val="24"/>
        </w:rPr>
        <w:t xml:space="preserve"> understanding</w:t>
      </w:r>
      <w:r w:rsidRPr="00436B28">
        <w:rPr>
          <w:szCs w:val="24"/>
        </w:rPr>
        <w:t xml:space="preserve"> in mind</w:t>
      </w:r>
      <w:r w:rsidR="00982B1F">
        <w:rPr>
          <w:szCs w:val="24"/>
        </w:rPr>
        <w:t>,</w:t>
      </w:r>
      <w:r w:rsidRPr="00436B28">
        <w:rPr>
          <w:szCs w:val="24"/>
        </w:rPr>
        <w:t xml:space="preserve"> the introduction of </w:t>
      </w:r>
      <w:r w:rsidR="00231CDB">
        <w:rPr>
          <w:szCs w:val="24"/>
        </w:rPr>
        <w:t xml:space="preserve">such a large free trade zone </w:t>
      </w:r>
      <w:r w:rsidRPr="00436B28">
        <w:rPr>
          <w:szCs w:val="24"/>
        </w:rPr>
        <w:t>was very contentious</w:t>
      </w:r>
      <w:r w:rsidR="00231CDB">
        <w:rPr>
          <w:szCs w:val="24"/>
        </w:rPr>
        <w:t xml:space="preserve"> between the three nations involved</w:t>
      </w:r>
      <w:r w:rsidRPr="00436B28">
        <w:rPr>
          <w:szCs w:val="24"/>
        </w:rPr>
        <w:t>.</w:t>
      </w:r>
      <w:r w:rsidR="00231CDB">
        <w:rPr>
          <w:szCs w:val="24"/>
        </w:rPr>
        <w:t xml:space="preserve"> </w:t>
      </w:r>
      <w:r w:rsidRPr="00436B28">
        <w:rPr>
          <w:szCs w:val="24"/>
        </w:rPr>
        <w:t>The North American Free Trade Agreement was among the first of its kind between developed nations and a developing one (</w:t>
      </w:r>
      <w:r w:rsidR="00CB4A57">
        <w:rPr>
          <w:szCs w:val="24"/>
        </w:rPr>
        <w:t>Villareal, Fergusson 2017</w:t>
      </w:r>
      <w:r w:rsidRPr="00436B28">
        <w:rPr>
          <w:szCs w:val="24"/>
        </w:rPr>
        <w:t>). The wide sweeping treaty set agreements forth to eliminate tariffs for most goods traded between the United States, Canada and Mexico.</w:t>
      </w:r>
      <w:r w:rsidR="00413C18">
        <w:rPr>
          <w:szCs w:val="24"/>
        </w:rPr>
        <w:t xml:space="preserve"> </w:t>
      </w:r>
      <w:r w:rsidRPr="00436B28">
        <w:rPr>
          <w:szCs w:val="24"/>
        </w:rPr>
        <w:t>Controversial from the start, it was argued that such a comprehensive agreement would adversely affect the economy of the U.S. and Mexico. Of those criticisms, opponents of NAFTA were correct in their assumptions in the disruption to low skilled labor in the United States</w:t>
      </w:r>
      <w:r w:rsidR="00231CDB">
        <w:rPr>
          <w:szCs w:val="24"/>
        </w:rPr>
        <w:t xml:space="preserve">. It was argued that manufacturing </w:t>
      </w:r>
      <w:r w:rsidRPr="00436B28">
        <w:rPr>
          <w:szCs w:val="24"/>
        </w:rPr>
        <w:t>firms</w:t>
      </w:r>
      <w:r w:rsidR="00231CDB">
        <w:rPr>
          <w:szCs w:val="24"/>
        </w:rPr>
        <w:t xml:space="preserve"> would </w:t>
      </w:r>
      <w:r w:rsidRPr="00436B28">
        <w:rPr>
          <w:szCs w:val="24"/>
        </w:rPr>
        <w:t>relocat</w:t>
      </w:r>
      <w:r w:rsidR="00231CDB">
        <w:rPr>
          <w:szCs w:val="24"/>
        </w:rPr>
        <w:t>e</w:t>
      </w:r>
      <w:r w:rsidRPr="00436B28">
        <w:rPr>
          <w:szCs w:val="24"/>
        </w:rPr>
        <w:t xml:space="preserve"> to Mexico because of its lower wages despite the included provisions to help mitigate this effect</w:t>
      </w:r>
      <w:r w:rsidR="00231CDB">
        <w:rPr>
          <w:szCs w:val="24"/>
        </w:rPr>
        <w:t xml:space="preserve"> (</w:t>
      </w:r>
      <w:r w:rsidR="0007668A">
        <w:rPr>
          <w:szCs w:val="24"/>
        </w:rPr>
        <w:t>Scott</w:t>
      </w:r>
      <w:r w:rsidR="00982B1F">
        <w:rPr>
          <w:szCs w:val="24"/>
        </w:rPr>
        <w:t xml:space="preserve"> 2011</w:t>
      </w:r>
      <w:r w:rsidR="0007668A">
        <w:rPr>
          <w:szCs w:val="24"/>
        </w:rPr>
        <w:t>).</w:t>
      </w:r>
      <w:r w:rsidR="00B93FCA">
        <w:rPr>
          <w:szCs w:val="24"/>
        </w:rPr>
        <w:t xml:space="preserve"> </w:t>
      </w:r>
      <w:r w:rsidRPr="00436B28">
        <w:rPr>
          <w:szCs w:val="24"/>
        </w:rPr>
        <w:t xml:space="preserve">Mexican opponents of </w:t>
      </w:r>
      <w:r w:rsidRPr="00436B28">
        <w:rPr>
          <w:szCs w:val="24"/>
        </w:rPr>
        <w:lastRenderedPageBreak/>
        <w:t xml:space="preserve">NAFTA were also </w:t>
      </w:r>
      <w:r w:rsidR="00B93FCA">
        <w:rPr>
          <w:szCs w:val="24"/>
        </w:rPr>
        <w:t xml:space="preserve">apprehensive </w:t>
      </w:r>
      <w:r w:rsidR="00BB39EA">
        <w:rPr>
          <w:szCs w:val="24"/>
        </w:rPr>
        <w:t>regarding</w:t>
      </w:r>
      <w:r w:rsidRPr="00436B28">
        <w:rPr>
          <w:szCs w:val="24"/>
        </w:rPr>
        <w:t xml:space="preserve"> the</w:t>
      </w:r>
      <w:r w:rsidR="00B93FCA">
        <w:rPr>
          <w:szCs w:val="24"/>
        </w:rPr>
        <w:t xml:space="preserve"> domestic</w:t>
      </w:r>
      <w:r w:rsidRPr="00436B28">
        <w:rPr>
          <w:szCs w:val="24"/>
        </w:rPr>
        <w:t xml:space="preserve"> agricultural sector being negatively </w:t>
      </w:r>
      <w:r w:rsidR="00214615">
        <w:rPr>
          <w:szCs w:val="24"/>
        </w:rPr>
        <w:t>impa</w:t>
      </w:r>
      <w:r w:rsidRPr="00436B28">
        <w:rPr>
          <w:szCs w:val="24"/>
        </w:rPr>
        <w:t>cte</w:t>
      </w:r>
      <w:r w:rsidR="00B93FCA">
        <w:rPr>
          <w:szCs w:val="24"/>
        </w:rPr>
        <w:t>d</w:t>
      </w:r>
      <w:r w:rsidR="00BB39EA">
        <w:rPr>
          <w:szCs w:val="24"/>
        </w:rPr>
        <w:t>.</w:t>
      </w:r>
    </w:p>
    <w:p w14:paraId="73240782" w14:textId="5C403BE1" w:rsidR="00436B28" w:rsidRDefault="00070013" w:rsidP="00231CDB">
      <w:pPr>
        <w:spacing w:line="480" w:lineRule="auto"/>
        <w:ind w:firstLine="720"/>
        <w:rPr>
          <w:szCs w:val="24"/>
        </w:rPr>
      </w:pPr>
      <w:r>
        <w:rPr>
          <w:szCs w:val="24"/>
        </w:rPr>
        <w:t>Enter</w:t>
      </w:r>
      <w:r w:rsidR="00436B28" w:rsidRPr="00436B28">
        <w:rPr>
          <w:szCs w:val="24"/>
        </w:rPr>
        <w:t xml:space="preserve">ing into effect </w:t>
      </w:r>
      <w:r>
        <w:rPr>
          <w:szCs w:val="24"/>
        </w:rPr>
        <w:t>o</w:t>
      </w:r>
      <w:r w:rsidR="00436B28" w:rsidRPr="00436B28">
        <w:rPr>
          <w:szCs w:val="24"/>
        </w:rPr>
        <w:t xml:space="preserve">n </w:t>
      </w:r>
      <w:r w:rsidR="009A569B">
        <w:rPr>
          <w:szCs w:val="24"/>
        </w:rPr>
        <w:t>January 1, 1994, and</w:t>
      </w:r>
      <w:r w:rsidR="00436B28" w:rsidRPr="00436B28">
        <w:rPr>
          <w:szCs w:val="24"/>
        </w:rPr>
        <w:t xml:space="preserve"> replaced by the United States</w:t>
      </w:r>
      <w:r w:rsidR="00981120">
        <w:rPr>
          <w:szCs w:val="24"/>
        </w:rPr>
        <w:t>-Mexico-</w:t>
      </w:r>
      <w:r w:rsidR="00436B28" w:rsidRPr="00436B28">
        <w:rPr>
          <w:szCs w:val="24"/>
        </w:rPr>
        <w:t xml:space="preserve">Canada agreement </w:t>
      </w:r>
      <w:r>
        <w:rPr>
          <w:szCs w:val="24"/>
        </w:rPr>
        <w:t>on July 1</w:t>
      </w:r>
      <w:r w:rsidR="009A569B">
        <w:rPr>
          <w:szCs w:val="24"/>
        </w:rPr>
        <w:t>, 2020</w:t>
      </w:r>
      <w:r w:rsidR="00436B28" w:rsidRPr="00436B28">
        <w:rPr>
          <w:szCs w:val="24"/>
        </w:rPr>
        <w:t>,</w:t>
      </w:r>
      <w:r w:rsidR="00285DCC">
        <w:rPr>
          <w:szCs w:val="24"/>
        </w:rPr>
        <w:t xml:space="preserve"> NAFTA is no longer current trade policy, nevertheless it</w:t>
      </w:r>
      <w:r w:rsidR="00436B28" w:rsidRPr="00436B28">
        <w:rPr>
          <w:szCs w:val="24"/>
        </w:rPr>
        <w:t xml:space="preserve"> </w:t>
      </w:r>
      <w:r w:rsidR="004D5F8A">
        <w:rPr>
          <w:szCs w:val="24"/>
        </w:rPr>
        <w:t xml:space="preserve">is </w:t>
      </w:r>
      <w:r w:rsidR="00436B28" w:rsidRPr="00436B28">
        <w:rPr>
          <w:szCs w:val="24"/>
        </w:rPr>
        <w:t>important to review the effects of legislation for future policy considerations</w:t>
      </w:r>
      <w:r w:rsidR="00285DCC">
        <w:rPr>
          <w:szCs w:val="24"/>
        </w:rPr>
        <w:t xml:space="preserve"> to maximize social </w:t>
      </w:r>
      <w:r w:rsidR="00334302">
        <w:rPr>
          <w:szCs w:val="24"/>
        </w:rPr>
        <w:t>well-being</w:t>
      </w:r>
      <w:r w:rsidR="00285DCC">
        <w:rPr>
          <w:szCs w:val="24"/>
        </w:rPr>
        <w:t>.</w:t>
      </w:r>
      <w:r w:rsidR="00334302">
        <w:rPr>
          <w:szCs w:val="24"/>
        </w:rPr>
        <w:t xml:space="preserve"> </w:t>
      </w:r>
      <w:r w:rsidR="00436B28" w:rsidRPr="00436B28">
        <w:rPr>
          <w:szCs w:val="24"/>
        </w:rPr>
        <w:t xml:space="preserve">Part of the difficulty in </w:t>
      </w:r>
      <w:r w:rsidR="00F070DA">
        <w:rPr>
          <w:szCs w:val="24"/>
        </w:rPr>
        <w:t>assessing the impacts</w:t>
      </w:r>
      <w:r w:rsidR="00436B28" w:rsidRPr="00436B28">
        <w:rPr>
          <w:szCs w:val="24"/>
        </w:rPr>
        <w:t xml:space="preserve"> that NAFTA had on Mexico’s economy are the</w:t>
      </w:r>
      <w:r w:rsidR="00BB72D9">
        <w:rPr>
          <w:szCs w:val="24"/>
        </w:rPr>
        <w:t xml:space="preserve"> </w:t>
      </w:r>
      <w:r w:rsidR="00A00E82">
        <w:rPr>
          <w:szCs w:val="24"/>
        </w:rPr>
        <w:t>distort</w:t>
      </w:r>
      <w:r w:rsidR="00BB72D9">
        <w:rPr>
          <w:szCs w:val="24"/>
        </w:rPr>
        <w:t xml:space="preserve">ing effects </w:t>
      </w:r>
      <w:r w:rsidR="00F070DA">
        <w:rPr>
          <w:szCs w:val="24"/>
        </w:rPr>
        <w:t xml:space="preserve">of </w:t>
      </w:r>
      <w:r w:rsidR="00436B28" w:rsidRPr="00436B28">
        <w:rPr>
          <w:szCs w:val="24"/>
        </w:rPr>
        <w:t xml:space="preserve">macroeconomic factors </w:t>
      </w:r>
      <w:r w:rsidR="00F070DA">
        <w:rPr>
          <w:szCs w:val="24"/>
        </w:rPr>
        <w:t xml:space="preserve">occurring </w:t>
      </w:r>
      <w:r w:rsidR="00AB121B">
        <w:rPr>
          <w:szCs w:val="24"/>
        </w:rPr>
        <w:t xml:space="preserve">within the same </w:t>
      </w:r>
      <w:r w:rsidR="00BA62C2">
        <w:rPr>
          <w:szCs w:val="24"/>
        </w:rPr>
        <w:t>period</w:t>
      </w:r>
      <w:r w:rsidR="00436B28" w:rsidRPr="00436B28">
        <w:rPr>
          <w:szCs w:val="24"/>
        </w:rPr>
        <w:t>.</w:t>
      </w:r>
      <w:r w:rsidR="00231CDB">
        <w:rPr>
          <w:szCs w:val="24"/>
        </w:rPr>
        <w:t xml:space="preserve"> This distortion was hopefully mitigated by sampling a </w:t>
      </w:r>
      <w:r w:rsidR="00630D4A">
        <w:rPr>
          <w:szCs w:val="24"/>
        </w:rPr>
        <w:t>wide enough</w:t>
      </w:r>
      <w:r w:rsidR="00231CDB">
        <w:rPr>
          <w:szCs w:val="24"/>
        </w:rPr>
        <w:t xml:space="preserve"> distribution of data. </w:t>
      </w:r>
      <w:r w:rsidR="00F1367D">
        <w:rPr>
          <w:szCs w:val="24"/>
        </w:rPr>
        <w:t>In</w:t>
      </w:r>
      <w:r w:rsidR="00436B28" w:rsidRPr="00436B28">
        <w:rPr>
          <w:szCs w:val="24"/>
        </w:rPr>
        <w:t xml:space="preserve"> particular, Mexico was already moving towards trade liberalization with the approval of </w:t>
      </w:r>
      <w:r w:rsidR="006E45F4">
        <w:rPr>
          <w:szCs w:val="24"/>
        </w:rPr>
        <w:t xml:space="preserve">the </w:t>
      </w:r>
      <w:r w:rsidR="00436B28" w:rsidRPr="00436B28">
        <w:rPr>
          <w:szCs w:val="24"/>
        </w:rPr>
        <w:t>G</w:t>
      </w:r>
      <w:r w:rsidR="00CE560E">
        <w:rPr>
          <w:szCs w:val="24"/>
        </w:rPr>
        <w:t>eneral Agreement on Tariffs and Trade</w:t>
      </w:r>
      <w:r w:rsidR="00436B28" w:rsidRPr="00436B28">
        <w:rPr>
          <w:szCs w:val="24"/>
        </w:rPr>
        <w:t xml:space="preserve"> in 198</w:t>
      </w:r>
      <w:r w:rsidR="00AB1157">
        <w:rPr>
          <w:szCs w:val="24"/>
        </w:rPr>
        <w:t>6</w:t>
      </w:r>
      <w:r w:rsidR="00DC2EB9">
        <w:rPr>
          <w:szCs w:val="24"/>
        </w:rPr>
        <w:t xml:space="preserve"> </w:t>
      </w:r>
      <w:r w:rsidR="00436B28" w:rsidRPr="00436B28">
        <w:rPr>
          <w:szCs w:val="24"/>
        </w:rPr>
        <w:t>(</w:t>
      </w:r>
      <w:r w:rsidR="00AB1157">
        <w:rPr>
          <w:szCs w:val="24"/>
        </w:rPr>
        <w:t>Otero</w:t>
      </w:r>
      <w:r w:rsidR="00F1367D">
        <w:rPr>
          <w:szCs w:val="24"/>
        </w:rPr>
        <w:t xml:space="preserve"> and Hazarika</w:t>
      </w:r>
      <w:r w:rsidR="00AB1157">
        <w:rPr>
          <w:szCs w:val="24"/>
        </w:rPr>
        <w:t xml:space="preserve"> 2011</w:t>
      </w:r>
      <w:r w:rsidR="00436B28" w:rsidRPr="00436B28">
        <w:rPr>
          <w:szCs w:val="24"/>
        </w:rPr>
        <w:t>). In addition to the economic impact of</w:t>
      </w:r>
      <w:r w:rsidR="00BB39EA">
        <w:rPr>
          <w:szCs w:val="24"/>
        </w:rPr>
        <w:t xml:space="preserve"> the</w:t>
      </w:r>
      <w:r w:rsidR="00436B28" w:rsidRPr="00436B28">
        <w:rPr>
          <w:szCs w:val="24"/>
        </w:rPr>
        <w:t xml:space="preserve"> </w:t>
      </w:r>
      <w:r w:rsidR="007F33D4" w:rsidRPr="00436B28">
        <w:rPr>
          <w:szCs w:val="24"/>
        </w:rPr>
        <w:t>GATT, Mexico</w:t>
      </w:r>
      <w:r w:rsidR="00436B28" w:rsidRPr="00436B28">
        <w:rPr>
          <w:szCs w:val="24"/>
        </w:rPr>
        <w:t xml:space="preserve"> experienced a </w:t>
      </w:r>
      <w:r w:rsidR="00436B28" w:rsidRPr="00640515">
        <w:rPr>
          <w:szCs w:val="24"/>
        </w:rPr>
        <w:t>severe</w:t>
      </w:r>
      <w:r w:rsidR="00436B28" w:rsidRPr="00436B28">
        <w:rPr>
          <w:szCs w:val="24"/>
        </w:rPr>
        <w:t xml:space="preserve"> decline in the value of its currency, hurting its exchange rate </w:t>
      </w:r>
      <w:r w:rsidR="00981120">
        <w:rPr>
          <w:szCs w:val="24"/>
        </w:rPr>
        <w:t>against the dollar</w:t>
      </w:r>
      <w:r w:rsidR="00640515">
        <w:rPr>
          <w:szCs w:val="24"/>
        </w:rPr>
        <w:t xml:space="preserve"> towards the end of 1994</w:t>
      </w:r>
      <w:r w:rsidR="00981120">
        <w:rPr>
          <w:szCs w:val="24"/>
        </w:rPr>
        <w:t xml:space="preserve">. </w:t>
      </w:r>
      <w:r w:rsidR="00640515">
        <w:rPr>
          <w:szCs w:val="24"/>
        </w:rPr>
        <w:t xml:space="preserve">This currency devaluation, known as the Mexican Peso Crisis, created negative lingering effects for Mexico throughout the nineties </w:t>
      </w:r>
      <w:r w:rsidR="00436B28" w:rsidRPr="00436B28">
        <w:rPr>
          <w:szCs w:val="24"/>
        </w:rPr>
        <w:t>(</w:t>
      </w:r>
      <w:r w:rsidR="00ED50BE" w:rsidRPr="0039771D">
        <w:rPr>
          <w:szCs w:val="24"/>
        </w:rPr>
        <w:t>Chen 2021</w:t>
      </w:r>
      <w:r w:rsidR="00436B28" w:rsidRPr="00436B28">
        <w:rPr>
          <w:szCs w:val="24"/>
        </w:rPr>
        <w:t xml:space="preserve">). International trade is sensitive to fluctuations in the world economy, with the synchronization of business cycles occurring from increased trade, the 2008 financial crisis also </w:t>
      </w:r>
      <w:r w:rsidR="00C70190">
        <w:rPr>
          <w:szCs w:val="24"/>
        </w:rPr>
        <w:t xml:space="preserve">adversely </w:t>
      </w:r>
      <w:r w:rsidR="00436B28" w:rsidRPr="00436B28">
        <w:rPr>
          <w:szCs w:val="24"/>
        </w:rPr>
        <w:t>impacted Mexico as one of America’s largest trade partners</w:t>
      </w:r>
      <w:r w:rsidR="007F4210">
        <w:rPr>
          <w:szCs w:val="24"/>
        </w:rPr>
        <w:t xml:space="preserve"> (Villareal</w:t>
      </w:r>
      <w:r w:rsidR="00BA15B3">
        <w:rPr>
          <w:szCs w:val="24"/>
        </w:rPr>
        <w:t>, Fergusson</w:t>
      </w:r>
      <w:r w:rsidR="00C93486">
        <w:rPr>
          <w:szCs w:val="24"/>
        </w:rPr>
        <w:t xml:space="preserve"> 2017</w:t>
      </w:r>
      <w:r w:rsidR="007F4210">
        <w:rPr>
          <w:szCs w:val="24"/>
        </w:rPr>
        <w:t>)</w:t>
      </w:r>
      <w:r w:rsidR="00436B28" w:rsidRPr="00436B28">
        <w:rPr>
          <w:szCs w:val="24"/>
        </w:rPr>
        <w:t>.</w:t>
      </w:r>
      <w:r w:rsidR="00344341">
        <w:rPr>
          <w:szCs w:val="24"/>
        </w:rPr>
        <w:t xml:space="preserve"> </w:t>
      </w:r>
      <w:r w:rsidR="002D3CB2">
        <w:rPr>
          <w:szCs w:val="24"/>
        </w:rPr>
        <w:t>Additionally,</w:t>
      </w:r>
      <w:r w:rsidR="00344341">
        <w:rPr>
          <w:szCs w:val="24"/>
        </w:rPr>
        <w:t xml:space="preserve"> the area of focus for this paper will be between the United States and Mexico, the effects on Canadian trade will not be </w:t>
      </w:r>
      <w:r w:rsidR="00E8011E">
        <w:rPr>
          <w:szCs w:val="24"/>
        </w:rPr>
        <w:t>examined</w:t>
      </w:r>
      <w:r w:rsidR="00EE75B1">
        <w:rPr>
          <w:szCs w:val="24"/>
        </w:rPr>
        <w:t>.</w:t>
      </w:r>
    </w:p>
    <w:p w14:paraId="26D3E828" w14:textId="66DA601A" w:rsidR="00A333DF" w:rsidRDefault="00A333DF" w:rsidP="00E25A44">
      <w:pPr>
        <w:spacing w:line="480" w:lineRule="auto"/>
        <w:rPr>
          <w:szCs w:val="24"/>
        </w:rPr>
      </w:pPr>
      <w:r>
        <w:rPr>
          <w:szCs w:val="24"/>
        </w:rPr>
        <w:tab/>
        <w:t xml:space="preserve">In the following sections, literature that </w:t>
      </w:r>
      <w:r w:rsidR="006E45F4">
        <w:rPr>
          <w:szCs w:val="24"/>
        </w:rPr>
        <w:t>reviews</w:t>
      </w:r>
      <w:r>
        <w:rPr>
          <w:szCs w:val="24"/>
        </w:rPr>
        <w:t xml:space="preserve"> in brief about the gains and losses from NAFTA’s implementation are discussed. The focus of the review starts off with a general overview of the positive economic aspects from a free trade agreement. </w:t>
      </w:r>
      <w:r w:rsidRPr="0093112C">
        <w:rPr>
          <w:szCs w:val="24"/>
        </w:rPr>
        <w:t xml:space="preserve">The measurements used in the gains from trade would </w:t>
      </w:r>
      <w:r w:rsidR="00F43A0A" w:rsidRPr="0093112C">
        <w:rPr>
          <w:szCs w:val="24"/>
        </w:rPr>
        <w:t>be</w:t>
      </w:r>
      <w:r w:rsidR="00344341" w:rsidRPr="0093112C">
        <w:rPr>
          <w:szCs w:val="24"/>
        </w:rPr>
        <w:t xml:space="preserve"> </w:t>
      </w:r>
      <w:r w:rsidR="00B9655F">
        <w:rPr>
          <w:szCs w:val="24"/>
        </w:rPr>
        <w:t>foreign direct investment</w:t>
      </w:r>
      <w:r w:rsidR="0093112C" w:rsidRPr="0093112C">
        <w:rPr>
          <w:szCs w:val="24"/>
        </w:rPr>
        <w:t xml:space="preserve"> net inflows</w:t>
      </w:r>
      <w:r w:rsidRPr="0093112C">
        <w:rPr>
          <w:szCs w:val="24"/>
        </w:rPr>
        <w:t xml:space="preserve"> and employment </w:t>
      </w:r>
      <w:r w:rsidRPr="0093112C">
        <w:rPr>
          <w:szCs w:val="24"/>
        </w:rPr>
        <w:lastRenderedPageBreak/>
        <w:t>statistics.</w:t>
      </w:r>
      <w:r w:rsidRPr="00D5605A">
        <w:rPr>
          <w:b/>
          <w:bCs/>
          <w:szCs w:val="24"/>
        </w:rPr>
        <w:t xml:space="preserve"> </w:t>
      </w:r>
      <w:r w:rsidRPr="00F11FAC">
        <w:rPr>
          <w:szCs w:val="24"/>
        </w:rPr>
        <w:t xml:space="preserve">This is then contrasted with </w:t>
      </w:r>
      <w:r w:rsidR="000C5E80" w:rsidRPr="00F11FAC">
        <w:rPr>
          <w:szCs w:val="24"/>
        </w:rPr>
        <w:t xml:space="preserve">literature concerning the </w:t>
      </w:r>
      <w:r w:rsidR="00937AD2" w:rsidRPr="00F11FAC">
        <w:rPr>
          <w:szCs w:val="24"/>
        </w:rPr>
        <w:t>losses attributed to NAFTA</w:t>
      </w:r>
      <w:r w:rsidRPr="00F11FAC">
        <w:rPr>
          <w:szCs w:val="24"/>
        </w:rPr>
        <w:t xml:space="preserve">. </w:t>
      </w:r>
      <w:r>
        <w:rPr>
          <w:szCs w:val="24"/>
        </w:rPr>
        <w:t xml:space="preserve">In addition to the brief review, a data </w:t>
      </w:r>
      <w:r w:rsidR="00F43A0A">
        <w:rPr>
          <w:szCs w:val="24"/>
        </w:rPr>
        <w:t>findings</w:t>
      </w:r>
      <w:r>
        <w:rPr>
          <w:szCs w:val="24"/>
        </w:rPr>
        <w:t xml:space="preserve"> section will discuss </w:t>
      </w:r>
      <w:r w:rsidR="00DA1327">
        <w:rPr>
          <w:szCs w:val="24"/>
        </w:rPr>
        <w:t>some of the effects N</w:t>
      </w:r>
      <w:r w:rsidR="00F11C03">
        <w:rPr>
          <w:szCs w:val="24"/>
        </w:rPr>
        <w:t>A</w:t>
      </w:r>
      <w:r w:rsidR="00DA1327">
        <w:rPr>
          <w:szCs w:val="24"/>
        </w:rPr>
        <w:t xml:space="preserve">FTA </w:t>
      </w:r>
      <w:r w:rsidR="006E45F4">
        <w:rPr>
          <w:szCs w:val="24"/>
        </w:rPr>
        <w:t xml:space="preserve">may have </w:t>
      </w:r>
      <w:r w:rsidR="00DA1327">
        <w:rPr>
          <w:szCs w:val="24"/>
        </w:rPr>
        <w:t xml:space="preserve">had on the agricultural and manufacturing sectors in Mexico. </w:t>
      </w:r>
      <w:r>
        <w:rPr>
          <w:szCs w:val="24"/>
        </w:rPr>
        <w:t xml:space="preserve">There is difficulty in normalizing the changes in </w:t>
      </w:r>
      <w:r w:rsidR="006E45F4">
        <w:rPr>
          <w:szCs w:val="24"/>
        </w:rPr>
        <w:t>methodologies</w:t>
      </w:r>
      <w:r>
        <w:rPr>
          <w:szCs w:val="24"/>
        </w:rPr>
        <w:t xml:space="preserve"> across the many data sets used and </w:t>
      </w:r>
      <w:r w:rsidR="00B636D7">
        <w:rPr>
          <w:szCs w:val="24"/>
        </w:rPr>
        <w:t>th</w:t>
      </w:r>
      <w:r w:rsidR="006E45F4">
        <w:rPr>
          <w:szCs w:val="24"/>
        </w:rPr>
        <w:t>e discrepancies</w:t>
      </w:r>
      <w:r w:rsidR="00B636D7">
        <w:rPr>
          <w:szCs w:val="24"/>
        </w:rPr>
        <w:t xml:space="preserve"> will be noted</w:t>
      </w:r>
      <w:r w:rsidR="006E45F4">
        <w:rPr>
          <w:szCs w:val="24"/>
        </w:rPr>
        <w:t xml:space="preserve"> where relevant</w:t>
      </w:r>
      <w:r w:rsidR="00B636D7">
        <w:rPr>
          <w:szCs w:val="24"/>
        </w:rPr>
        <w:t xml:space="preserve">. </w:t>
      </w:r>
      <w:r w:rsidR="006D5290">
        <w:rPr>
          <w:szCs w:val="24"/>
        </w:rPr>
        <w:t>Finally</w:t>
      </w:r>
      <w:r w:rsidR="006E45F4">
        <w:rPr>
          <w:szCs w:val="24"/>
        </w:rPr>
        <w:t xml:space="preserve">, </w:t>
      </w:r>
      <w:r w:rsidR="006D5290">
        <w:rPr>
          <w:szCs w:val="24"/>
        </w:rPr>
        <w:t xml:space="preserve">the application of the </w:t>
      </w:r>
      <w:r w:rsidR="00E72006">
        <w:rPr>
          <w:szCs w:val="24"/>
        </w:rPr>
        <w:t>Heckscher-Ohlin f</w:t>
      </w:r>
      <w:r w:rsidR="006D5290">
        <w:rPr>
          <w:szCs w:val="24"/>
        </w:rPr>
        <w:t xml:space="preserve">ramework is summed in brief, the findings from the results will determine whether the </w:t>
      </w:r>
      <w:r w:rsidR="00F63163">
        <w:rPr>
          <w:szCs w:val="24"/>
        </w:rPr>
        <w:t>Mexican economy developed into a capital rich nation</w:t>
      </w:r>
      <w:r w:rsidR="007F33D4">
        <w:rPr>
          <w:szCs w:val="24"/>
        </w:rPr>
        <w:t xml:space="preserve"> or stayed labor rich</w:t>
      </w:r>
      <w:r w:rsidR="00E25A44">
        <w:rPr>
          <w:szCs w:val="24"/>
        </w:rPr>
        <w:t>.</w:t>
      </w:r>
    </w:p>
    <w:p w14:paraId="4840F19A" w14:textId="4EFEFA44" w:rsidR="00436B28" w:rsidRPr="00436B28" w:rsidRDefault="00436B28" w:rsidP="00436B28">
      <w:pPr>
        <w:spacing w:line="480" w:lineRule="auto"/>
        <w:rPr>
          <w:b/>
          <w:bCs/>
          <w:szCs w:val="24"/>
        </w:rPr>
      </w:pPr>
      <w:r w:rsidRPr="00436B28">
        <w:rPr>
          <w:b/>
          <w:bCs/>
          <w:szCs w:val="24"/>
        </w:rPr>
        <w:t>Literature Review</w:t>
      </w:r>
    </w:p>
    <w:p w14:paraId="5AC95B0D" w14:textId="7402C07C" w:rsidR="00ED13CB" w:rsidRDefault="00255E25" w:rsidP="0019045F">
      <w:pPr>
        <w:spacing w:line="480" w:lineRule="auto"/>
        <w:ind w:firstLine="720"/>
        <w:rPr>
          <w:szCs w:val="24"/>
        </w:rPr>
      </w:pPr>
      <w:r>
        <w:rPr>
          <w:szCs w:val="24"/>
        </w:rPr>
        <w:t xml:space="preserve">A brief </w:t>
      </w:r>
      <w:r w:rsidR="00436B28" w:rsidRPr="00436B28">
        <w:rPr>
          <w:szCs w:val="24"/>
        </w:rPr>
        <w:t>literature review w</w:t>
      </w:r>
      <w:r>
        <w:rPr>
          <w:szCs w:val="24"/>
        </w:rPr>
        <w:t>as</w:t>
      </w:r>
      <w:r w:rsidR="00436B28" w:rsidRPr="00436B28">
        <w:rPr>
          <w:szCs w:val="24"/>
        </w:rPr>
        <w:t xml:space="preserve"> conducted </w:t>
      </w:r>
      <w:r>
        <w:rPr>
          <w:szCs w:val="24"/>
        </w:rPr>
        <w:t>with the purpose of showcasing</w:t>
      </w:r>
      <w:r w:rsidR="00436B28" w:rsidRPr="00436B28">
        <w:rPr>
          <w:szCs w:val="24"/>
        </w:rPr>
        <w:t xml:space="preserve"> the positive and negative aspects of NAFTA. </w:t>
      </w:r>
      <w:r w:rsidR="00C81C6F">
        <w:rPr>
          <w:szCs w:val="24"/>
        </w:rPr>
        <w:t>A</w:t>
      </w:r>
      <w:r w:rsidR="00436B28" w:rsidRPr="00436B28">
        <w:rPr>
          <w:szCs w:val="24"/>
        </w:rPr>
        <w:t xml:space="preserve">dding to the substantial body of literature this research aims to also combine the factor </w:t>
      </w:r>
      <w:r w:rsidR="00302507">
        <w:rPr>
          <w:szCs w:val="24"/>
        </w:rPr>
        <w:t>proportions</w:t>
      </w:r>
      <w:r w:rsidR="00436B28" w:rsidRPr="00436B28">
        <w:rPr>
          <w:szCs w:val="24"/>
        </w:rPr>
        <w:t xml:space="preserve"> theory with </w:t>
      </w:r>
      <w:r w:rsidR="00D5605A">
        <w:rPr>
          <w:szCs w:val="24"/>
        </w:rPr>
        <w:t xml:space="preserve">updated </w:t>
      </w:r>
      <w:r w:rsidR="00436B28" w:rsidRPr="00436B28">
        <w:rPr>
          <w:szCs w:val="24"/>
        </w:rPr>
        <w:t>economic data.</w:t>
      </w:r>
    </w:p>
    <w:p w14:paraId="3963CC43" w14:textId="3B3CFC68" w:rsidR="005019C0" w:rsidRPr="00F75E38" w:rsidRDefault="007E3995" w:rsidP="00240755">
      <w:pPr>
        <w:spacing w:line="480" w:lineRule="auto"/>
        <w:ind w:firstLine="720"/>
        <w:rPr>
          <w:szCs w:val="24"/>
        </w:rPr>
      </w:pPr>
      <w:r>
        <w:rPr>
          <w:szCs w:val="24"/>
        </w:rPr>
        <w:t>According to the United States Chamber of Commerce, the</w:t>
      </w:r>
      <w:r w:rsidR="007017C5">
        <w:rPr>
          <w:szCs w:val="24"/>
        </w:rPr>
        <w:t xml:space="preserve"> number</w:t>
      </w:r>
      <w:r>
        <w:rPr>
          <w:szCs w:val="24"/>
        </w:rPr>
        <w:t xml:space="preserve"> of U.S. jobs supported </w:t>
      </w:r>
      <w:r w:rsidR="0024720B">
        <w:rPr>
          <w:szCs w:val="24"/>
        </w:rPr>
        <w:t>b</w:t>
      </w:r>
      <w:r>
        <w:rPr>
          <w:szCs w:val="24"/>
        </w:rPr>
        <w:t>y trade with Mexico attributable to N</w:t>
      </w:r>
      <w:r w:rsidR="007017C5">
        <w:rPr>
          <w:szCs w:val="24"/>
        </w:rPr>
        <w:t>AFTA</w:t>
      </w:r>
      <w:r>
        <w:rPr>
          <w:szCs w:val="24"/>
        </w:rPr>
        <w:t xml:space="preserve"> was 1,703,522 as of 2017 (USCOC 2017). </w:t>
      </w:r>
      <w:r w:rsidR="007672D1">
        <w:rPr>
          <w:szCs w:val="24"/>
        </w:rPr>
        <w:t>Other positive developme</w:t>
      </w:r>
      <w:r w:rsidR="005920D4">
        <w:rPr>
          <w:szCs w:val="24"/>
        </w:rPr>
        <w:t>n</w:t>
      </w:r>
      <w:r w:rsidR="007672D1">
        <w:rPr>
          <w:szCs w:val="24"/>
        </w:rPr>
        <w:t>ts were noted, with U.S. agricultural exports to Mexico expanding at a compounding annual rate of 9.1% between 1</w:t>
      </w:r>
      <w:r w:rsidR="005920D4">
        <w:rPr>
          <w:szCs w:val="24"/>
        </w:rPr>
        <w:t>9</w:t>
      </w:r>
      <w:r w:rsidR="007672D1">
        <w:rPr>
          <w:szCs w:val="24"/>
        </w:rPr>
        <w:t>93 and 2012 (USCOC 2017)</w:t>
      </w:r>
      <w:r w:rsidR="00024F05">
        <w:rPr>
          <w:szCs w:val="24"/>
        </w:rPr>
        <w:t xml:space="preserve">. </w:t>
      </w:r>
      <w:r w:rsidR="00F75E38">
        <w:rPr>
          <w:szCs w:val="24"/>
        </w:rPr>
        <w:t xml:space="preserve">The </w:t>
      </w:r>
      <w:r w:rsidR="005920D4">
        <w:rPr>
          <w:szCs w:val="24"/>
        </w:rPr>
        <w:t>result</w:t>
      </w:r>
      <w:r w:rsidR="00F75E38">
        <w:rPr>
          <w:szCs w:val="24"/>
        </w:rPr>
        <w:t xml:space="preserve"> was described as a “bonanza” for American farmers with exports </w:t>
      </w:r>
      <w:r w:rsidR="00F75E38">
        <w:rPr>
          <w:i/>
          <w:iCs/>
          <w:szCs w:val="24"/>
        </w:rPr>
        <w:t>quintupling</w:t>
      </w:r>
      <w:r w:rsidR="00F75E38">
        <w:rPr>
          <w:szCs w:val="24"/>
        </w:rPr>
        <w:t xml:space="preserve"> since NAFTA came into effect</w:t>
      </w:r>
      <w:r w:rsidR="00117473">
        <w:rPr>
          <w:szCs w:val="24"/>
        </w:rPr>
        <w:t xml:space="preserve"> (USCOC 2017)</w:t>
      </w:r>
      <w:r w:rsidR="00F75E38">
        <w:rPr>
          <w:szCs w:val="24"/>
        </w:rPr>
        <w:t>.</w:t>
      </w:r>
    </w:p>
    <w:p w14:paraId="1C444EFA" w14:textId="722260AA" w:rsidR="00D91E67" w:rsidRDefault="00240755" w:rsidP="00240755">
      <w:pPr>
        <w:spacing w:line="480" w:lineRule="auto"/>
        <w:ind w:firstLine="720"/>
        <w:rPr>
          <w:szCs w:val="24"/>
        </w:rPr>
      </w:pPr>
      <w:r>
        <w:rPr>
          <w:szCs w:val="24"/>
        </w:rPr>
        <w:t xml:space="preserve">In similar fashion the </w:t>
      </w:r>
      <w:r w:rsidR="009B4A3E">
        <w:rPr>
          <w:szCs w:val="24"/>
        </w:rPr>
        <w:t xml:space="preserve">general </w:t>
      </w:r>
      <w:r>
        <w:rPr>
          <w:szCs w:val="24"/>
        </w:rPr>
        <w:t>i</w:t>
      </w:r>
      <w:r w:rsidR="00D91E67">
        <w:rPr>
          <w:szCs w:val="24"/>
        </w:rPr>
        <w:t>nitial sentiment</w:t>
      </w:r>
      <w:r w:rsidR="00C172FE">
        <w:rPr>
          <w:szCs w:val="24"/>
        </w:rPr>
        <w:t xml:space="preserve"> </w:t>
      </w:r>
      <w:r>
        <w:rPr>
          <w:szCs w:val="24"/>
        </w:rPr>
        <w:t xml:space="preserve">within Mexico </w:t>
      </w:r>
      <w:r w:rsidR="00C172FE">
        <w:rPr>
          <w:szCs w:val="24"/>
        </w:rPr>
        <w:t>towards NAFTA</w:t>
      </w:r>
      <w:r w:rsidR="00D91E67">
        <w:rPr>
          <w:szCs w:val="24"/>
        </w:rPr>
        <w:t xml:space="preserve"> was </w:t>
      </w:r>
      <w:r w:rsidR="00C172FE">
        <w:rPr>
          <w:szCs w:val="24"/>
        </w:rPr>
        <w:t>posi</w:t>
      </w:r>
      <w:r w:rsidR="00D91E67">
        <w:rPr>
          <w:szCs w:val="24"/>
        </w:rPr>
        <w:t>t</w:t>
      </w:r>
      <w:r w:rsidR="001A7F5D">
        <w:rPr>
          <w:szCs w:val="24"/>
        </w:rPr>
        <w:t>i</w:t>
      </w:r>
      <w:r w:rsidR="00C172FE">
        <w:rPr>
          <w:szCs w:val="24"/>
        </w:rPr>
        <w:t>ve</w:t>
      </w:r>
      <w:r w:rsidR="00D91E67">
        <w:rPr>
          <w:szCs w:val="24"/>
        </w:rPr>
        <w:t>, the</w:t>
      </w:r>
      <w:r w:rsidR="00BE1FFC">
        <w:rPr>
          <w:szCs w:val="24"/>
        </w:rPr>
        <w:t xml:space="preserve"> large area of tariff reduction made Mexico an attractive investment opportunity. </w:t>
      </w:r>
      <w:r w:rsidR="00BE1FFC" w:rsidRPr="00FA22A7">
        <w:rPr>
          <w:szCs w:val="24"/>
        </w:rPr>
        <w:t>The tariff reduction rate across all products in Mexico fell from 13.33% in 1993 to just 2.97% in 2017, a reduction of 78% (Barrows 2019).</w:t>
      </w:r>
      <w:r w:rsidR="00BE1FFC">
        <w:rPr>
          <w:szCs w:val="24"/>
        </w:rPr>
        <w:t xml:space="preserve"> As a </w:t>
      </w:r>
      <w:r w:rsidR="002D3CB2">
        <w:rPr>
          <w:szCs w:val="24"/>
        </w:rPr>
        <w:t>result,</w:t>
      </w:r>
      <w:r w:rsidR="00BE1FFC">
        <w:rPr>
          <w:szCs w:val="24"/>
        </w:rPr>
        <w:t xml:space="preserve"> there was a</w:t>
      </w:r>
      <w:r w:rsidR="001A7F5D">
        <w:rPr>
          <w:szCs w:val="24"/>
        </w:rPr>
        <w:t xml:space="preserve"> large increase in</w:t>
      </w:r>
      <w:r w:rsidR="00D91E67">
        <w:rPr>
          <w:szCs w:val="24"/>
        </w:rPr>
        <w:t xml:space="preserve"> </w:t>
      </w:r>
      <w:r w:rsidR="00FA22A7">
        <w:rPr>
          <w:szCs w:val="24"/>
        </w:rPr>
        <w:t xml:space="preserve">foreign </w:t>
      </w:r>
      <w:r w:rsidR="00FA22A7">
        <w:rPr>
          <w:szCs w:val="24"/>
        </w:rPr>
        <w:lastRenderedPageBreak/>
        <w:t>direct investment</w:t>
      </w:r>
      <w:r w:rsidR="00D91E67">
        <w:rPr>
          <w:szCs w:val="24"/>
        </w:rPr>
        <w:t xml:space="preserve"> net inflows</w:t>
      </w:r>
      <w:r w:rsidR="009029DC">
        <w:rPr>
          <w:szCs w:val="24"/>
        </w:rPr>
        <w:t xml:space="preserve"> as a percentage of </w:t>
      </w:r>
      <w:r w:rsidR="007E3995">
        <w:rPr>
          <w:szCs w:val="24"/>
        </w:rPr>
        <w:t xml:space="preserve">Mexican </w:t>
      </w:r>
      <w:r w:rsidR="009029DC">
        <w:rPr>
          <w:szCs w:val="24"/>
        </w:rPr>
        <w:t>GDP</w:t>
      </w:r>
      <w:r w:rsidR="00BE1FFC">
        <w:rPr>
          <w:szCs w:val="24"/>
        </w:rPr>
        <w:t>,</w:t>
      </w:r>
      <w:r w:rsidR="009029DC">
        <w:rPr>
          <w:szCs w:val="24"/>
        </w:rPr>
        <w:t xml:space="preserve"> </w:t>
      </w:r>
      <w:r w:rsidR="006A3AD7">
        <w:rPr>
          <w:szCs w:val="24"/>
        </w:rPr>
        <w:t>start</w:t>
      </w:r>
      <w:r w:rsidR="009029DC">
        <w:rPr>
          <w:szCs w:val="24"/>
        </w:rPr>
        <w:t>ing</w:t>
      </w:r>
      <w:r w:rsidR="005019C0">
        <w:rPr>
          <w:szCs w:val="24"/>
        </w:rPr>
        <w:t xml:space="preserve"> from 0.88</w:t>
      </w:r>
      <w:r w:rsidR="009029DC">
        <w:rPr>
          <w:szCs w:val="24"/>
        </w:rPr>
        <w:t xml:space="preserve"> </w:t>
      </w:r>
      <w:r w:rsidR="006A3AD7">
        <w:rPr>
          <w:szCs w:val="24"/>
        </w:rPr>
        <w:t xml:space="preserve">in </w:t>
      </w:r>
      <w:r w:rsidR="009029DC">
        <w:rPr>
          <w:szCs w:val="24"/>
        </w:rPr>
        <w:t>199</w:t>
      </w:r>
      <w:r w:rsidR="005019C0">
        <w:rPr>
          <w:szCs w:val="24"/>
        </w:rPr>
        <w:t>3 to 2.79 in 2017</w:t>
      </w:r>
      <w:r w:rsidR="007E3995">
        <w:rPr>
          <w:szCs w:val="24"/>
        </w:rPr>
        <w:t>,</w:t>
      </w:r>
      <w:r w:rsidR="001A7F5D">
        <w:rPr>
          <w:szCs w:val="24"/>
        </w:rPr>
        <w:t xml:space="preserve"> </w:t>
      </w:r>
      <w:r w:rsidR="009029DC">
        <w:rPr>
          <w:szCs w:val="24"/>
        </w:rPr>
        <w:t xml:space="preserve">a 218% increase </w:t>
      </w:r>
      <w:r w:rsidR="00D91E67">
        <w:rPr>
          <w:szCs w:val="24"/>
        </w:rPr>
        <w:t>(B</w:t>
      </w:r>
      <w:r w:rsidR="005019C0">
        <w:rPr>
          <w:szCs w:val="24"/>
        </w:rPr>
        <w:t>arrows 2019</w:t>
      </w:r>
      <w:r w:rsidR="00D91E67">
        <w:rPr>
          <w:szCs w:val="24"/>
        </w:rPr>
        <w:t>)</w:t>
      </w:r>
      <w:r w:rsidR="005019C0">
        <w:rPr>
          <w:szCs w:val="24"/>
        </w:rPr>
        <w:t>.</w:t>
      </w:r>
      <w:r w:rsidR="00D91E67">
        <w:rPr>
          <w:szCs w:val="24"/>
        </w:rPr>
        <w:t xml:space="preserve"> </w:t>
      </w:r>
      <w:r w:rsidR="00E81CB7">
        <w:rPr>
          <w:szCs w:val="24"/>
        </w:rPr>
        <w:t>By many accounts NAFTA was a resounding success, but as often quoted there are winners and losers when it comes to trade.</w:t>
      </w:r>
    </w:p>
    <w:p w14:paraId="3C907F21" w14:textId="0275DE27" w:rsidR="00AA33BC" w:rsidRDefault="00E25A44" w:rsidP="00E05F53">
      <w:pPr>
        <w:spacing w:line="480" w:lineRule="auto"/>
        <w:ind w:firstLine="720"/>
        <w:rPr>
          <w:szCs w:val="24"/>
        </w:rPr>
      </w:pPr>
      <w:r w:rsidRPr="00436B28">
        <w:rPr>
          <w:szCs w:val="24"/>
        </w:rPr>
        <w:t>It was found that the promised trade surplu</w:t>
      </w:r>
      <w:r>
        <w:rPr>
          <w:szCs w:val="24"/>
        </w:rPr>
        <w:t xml:space="preserve">s that the United States would gain from </w:t>
      </w:r>
      <w:r w:rsidR="004211CC">
        <w:rPr>
          <w:szCs w:val="24"/>
        </w:rPr>
        <w:t>free trade with</w:t>
      </w:r>
      <w:r>
        <w:rPr>
          <w:szCs w:val="24"/>
        </w:rPr>
        <w:t xml:space="preserve"> Canada and Mexico</w:t>
      </w:r>
      <w:r w:rsidRPr="00436B28">
        <w:rPr>
          <w:szCs w:val="24"/>
        </w:rPr>
        <w:t xml:space="preserve"> did not</w:t>
      </w:r>
      <w:r>
        <w:rPr>
          <w:szCs w:val="24"/>
        </w:rPr>
        <w:t xml:space="preserve"> </w:t>
      </w:r>
      <w:r w:rsidRPr="00436B28">
        <w:rPr>
          <w:szCs w:val="24"/>
        </w:rPr>
        <w:t xml:space="preserve">occur and instead </w:t>
      </w:r>
      <w:r>
        <w:rPr>
          <w:szCs w:val="24"/>
        </w:rPr>
        <w:t>created</w:t>
      </w:r>
      <w:r w:rsidRPr="00436B28">
        <w:rPr>
          <w:szCs w:val="24"/>
        </w:rPr>
        <w:t xml:space="preserve"> </w:t>
      </w:r>
      <w:r>
        <w:rPr>
          <w:szCs w:val="24"/>
        </w:rPr>
        <w:t xml:space="preserve">a substantial </w:t>
      </w:r>
      <w:r w:rsidRPr="00436B28">
        <w:rPr>
          <w:szCs w:val="24"/>
        </w:rPr>
        <w:t xml:space="preserve">trade deficit. </w:t>
      </w:r>
      <w:r>
        <w:rPr>
          <w:szCs w:val="24"/>
        </w:rPr>
        <w:t xml:space="preserve">As found by </w:t>
      </w:r>
      <w:r w:rsidRPr="00436B28">
        <w:rPr>
          <w:szCs w:val="24"/>
        </w:rPr>
        <w:t xml:space="preserve">Scott </w:t>
      </w:r>
      <w:r w:rsidR="00426435">
        <w:rPr>
          <w:szCs w:val="24"/>
        </w:rPr>
        <w:t>(2011)</w:t>
      </w:r>
      <w:r w:rsidR="00536DF3">
        <w:rPr>
          <w:szCs w:val="24"/>
        </w:rPr>
        <w:t>,</w:t>
      </w:r>
      <w:r w:rsidRPr="00436B28">
        <w:rPr>
          <w:szCs w:val="24"/>
        </w:rPr>
        <w:t xml:space="preserve"> f</w:t>
      </w:r>
      <w:r>
        <w:rPr>
          <w:szCs w:val="24"/>
        </w:rPr>
        <w:t>or</w:t>
      </w:r>
      <w:r w:rsidRPr="00436B28">
        <w:rPr>
          <w:szCs w:val="24"/>
        </w:rPr>
        <w:t xml:space="preserve"> the year of 2010 a </w:t>
      </w:r>
      <w:r w:rsidR="00FF3C0D">
        <w:rPr>
          <w:szCs w:val="24"/>
        </w:rPr>
        <w:t>total</w:t>
      </w:r>
      <w:r w:rsidRPr="00436B28">
        <w:rPr>
          <w:szCs w:val="24"/>
        </w:rPr>
        <w:t xml:space="preserve"> of 6</w:t>
      </w:r>
      <w:r w:rsidR="003F4BAD">
        <w:rPr>
          <w:szCs w:val="24"/>
        </w:rPr>
        <w:t>82</w:t>
      </w:r>
      <w:r w:rsidRPr="00436B28">
        <w:rPr>
          <w:szCs w:val="24"/>
        </w:rPr>
        <w:t>,</w:t>
      </w:r>
      <w:r w:rsidR="003F4BAD">
        <w:rPr>
          <w:szCs w:val="24"/>
        </w:rPr>
        <w:t>9</w:t>
      </w:r>
      <w:r w:rsidRPr="00436B28">
        <w:rPr>
          <w:szCs w:val="24"/>
        </w:rPr>
        <w:t xml:space="preserve">00 </w:t>
      </w:r>
      <w:r w:rsidR="00FA22A7">
        <w:rPr>
          <w:szCs w:val="24"/>
        </w:rPr>
        <w:t xml:space="preserve">American </w:t>
      </w:r>
      <w:r w:rsidRPr="00436B28">
        <w:rPr>
          <w:szCs w:val="24"/>
        </w:rPr>
        <w:t xml:space="preserve">jobs were lost. </w:t>
      </w:r>
      <w:r w:rsidR="00426435">
        <w:rPr>
          <w:szCs w:val="24"/>
        </w:rPr>
        <w:t xml:space="preserve">The author </w:t>
      </w:r>
      <w:r>
        <w:rPr>
          <w:szCs w:val="24"/>
        </w:rPr>
        <w:t xml:space="preserve">also </w:t>
      </w:r>
      <w:r w:rsidR="005543D7">
        <w:rPr>
          <w:szCs w:val="24"/>
        </w:rPr>
        <w:t>argue</w:t>
      </w:r>
      <w:r>
        <w:rPr>
          <w:szCs w:val="24"/>
        </w:rPr>
        <w:t xml:space="preserve">s that maintaining a trade deficit hurts rather than helps American workers. Considering the case that Maquiladoras have had on the Mexican economy, research was conducted in an attempt account for this factor. </w:t>
      </w:r>
      <w:r w:rsidR="00536DF3">
        <w:rPr>
          <w:szCs w:val="24"/>
        </w:rPr>
        <w:t xml:space="preserve">In brief, Maquiladoras are factories that used near tariff free primary inputs imported from the United States which were then sold to the American market, having little to no tariff on the value added to the </w:t>
      </w:r>
      <w:r w:rsidR="001324EC">
        <w:rPr>
          <w:szCs w:val="24"/>
        </w:rPr>
        <w:t>export</w:t>
      </w:r>
      <w:r w:rsidR="00536DF3">
        <w:rPr>
          <w:szCs w:val="24"/>
        </w:rPr>
        <w:t>ed items</w:t>
      </w:r>
      <w:r w:rsidR="00B27B86">
        <w:rPr>
          <w:szCs w:val="24"/>
        </w:rPr>
        <w:t xml:space="preserve">. </w:t>
      </w:r>
    </w:p>
    <w:p w14:paraId="2852B023" w14:textId="48837D12" w:rsidR="00E25A44" w:rsidRPr="00436B28" w:rsidRDefault="00E25A44" w:rsidP="00E05F53">
      <w:pPr>
        <w:spacing w:line="480" w:lineRule="auto"/>
        <w:ind w:firstLine="720"/>
        <w:rPr>
          <w:szCs w:val="24"/>
        </w:rPr>
      </w:pPr>
      <w:r>
        <w:rPr>
          <w:szCs w:val="24"/>
        </w:rPr>
        <w:t xml:space="preserve">By using an econometric estimate </w:t>
      </w:r>
      <w:r w:rsidR="0064429D">
        <w:rPr>
          <w:szCs w:val="24"/>
        </w:rPr>
        <w:t xml:space="preserve">with </w:t>
      </w:r>
      <w:r>
        <w:rPr>
          <w:szCs w:val="24"/>
        </w:rPr>
        <w:t>NAFTA as a dummy variable</w:t>
      </w:r>
      <w:r w:rsidR="00672B6B">
        <w:rPr>
          <w:szCs w:val="24"/>
        </w:rPr>
        <w:t xml:space="preserve"> and estimates in comparable wages for Mexico from similarly developing Asian nations</w:t>
      </w:r>
      <w:r>
        <w:rPr>
          <w:szCs w:val="24"/>
        </w:rPr>
        <w:t xml:space="preserve">, Truett </w:t>
      </w:r>
      <w:r w:rsidR="00AA33BC">
        <w:rPr>
          <w:szCs w:val="24"/>
        </w:rPr>
        <w:t>and Truett</w:t>
      </w:r>
      <w:r>
        <w:rPr>
          <w:szCs w:val="24"/>
        </w:rPr>
        <w:t xml:space="preserve"> </w:t>
      </w:r>
      <w:r w:rsidR="00AA33BC">
        <w:rPr>
          <w:szCs w:val="24"/>
        </w:rPr>
        <w:t xml:space="preserve">(2007) </w:t>
      </w:r>
      <w:r>
        <w:rPr>
          <w:szCs w:val="24"/>
        </w:rPr>
        <w:t xml:space="preserve">conclude that NAFTA had an insignificant effect on the aggregated </w:t>
      </w:r>
      <w:r w:rsidR="00565A79">
        <w:rPr>
          <w:szCs w:val="24"/>
        </w:rPr>
        <w:t>M</w:t>
      </w:r>
      <w:r>
        <w:rPr>
          <w:szCs w:val="24"/>
        </w:rPr>
        <w:t xml:space="preserve">aquiladora industry. Therefore, the Mexican manufacturing sector will not be split into Maquiladora and </w:t>
      </w:r>
      <w:r w:rsidR="002D3CB2">
        <w:rPr>
          <w:szCs w:val="24"/>
        </w:rPr>
        <w:t>non-Maquiladora</w:t>
      </w:r>
      <w:r>
        <w:rPr>
          <w:szCs w:val="24"/>
        </w:rPr>
        <w:t xml:space="preserve"> employment.</w:t>
      </w:r>
      <w:r w:rsidRPr="008458FE">
        <w:rPr>
          <w:szCs w:val="24"/>
        </w:rPr>
        <w:t xml:space="preserve"> </w:t>
      </w:r>
      <w:r>
        <w:rPr>
          <w:szCs w:val="24"/>
        </w:rPr>
        <w:t>Further research is needed to properly measure the effects NAFTA had on Maquiladoras</w:t>
      </w:r>
      <w:r w:rsidR="0064429D">
        <w:rPr>
          <w:szCs w:val="24"/>
        </w:rPr>
        <w:t xml:space="preserve"> using updated figures</w:t>
      </w:r>
      <w:r>
        <w:rPr>
          <w:szCs w:val="24"/>
        </w:rPr>
        <w:t>.</w:t>
      </w:r>
    </w:p>
    <w:p w14:paraId="097D9739" w14:textId="213A3FC9" w:rsidR="00DD4ADD" w:rsidRDefault="00DD4ADD" w:rsidP="00DD4ADD">
      <w:pPr>
        <w:spacing w:line="480" w:lineRule="auto"/>
        <w:ind w:firstLine="720"/>
        <w:rPr>
          <w:szCs w:val="24"/>
        </w:rPr>
      </w:pPr>
      <w:r>
        <w:rPr>
          <w:szCs w:val="24"/>
        </w:rPr>
        <w:t xml:space="preserve">Reviewing the effects of NAFTA on the Mexican economy, Polaski </w:t>
      </w:r>
      <w:r w:rsidR="00893779">
        <w:rPr>
          <w:szCs w:val="24"/>
        </w:rPr>
        <w:t xml:space="preserve">(2004) </w:t>
      </w:r>
      <w:r>
        <w:rPr>
          <w:szCs w:val="24"/>
        </w:rPr>
        <w:t xml:space="preserve">found that NAFTA </w:t>
      </w:r>
      <w:r w:rsidRPr="00436B28">
        <w:rPr>
          <w:szCs w:val="24"/>
        </w:rPr>
        <w:t xml:space="preserve">had an overall small net gain in jobs for Mexico, stating that the jobs created from export manufacturing has not kept pace with the job losses in agriculture due to imports. Showing agricultural employment for 1993, the year before NAFTA came into effect, there were </w:t>
      </w:r>
      <w:r w:rsidRPr="00436B28">
        <w:rPr>
          <w:szCs w:val="24"/>
        </w:rPr>
        <w:lastRenderedPageBreak/>
        <w:t>8.1 million Mexicans employed</w:t>
      </w:r>
      <w:r w:rsidR="00554983">
        <w:rPr>
          <w:szCs w:val="24"/>
        </w:rPr>
        <w:t xml:space="preserve"> in agriculture (</w:t>
      </w:r>
      <w:r w:rsidR="009E7F1B">
        <w:rPr>
          <w:szCs w:val="24"/>
        </w:rPr>
        <w:t>Polaski 2004)</w:t>
      </w:r>
      <w:r w:rsidRPr="00436B28">
        <w:rPr>
          <w:szCs w:val="24"/>
        </w:rPr>
        <w:t>. Post implementation employment trended downwards towards 6.8 million at the end of 2002, a loss of 1.3 million jobs</w:t>
      </w:r>
      <w:r>
        <w:rPr>
          <w:szCs w:val="24"/>
        </w:rPr>
        <w:t xml:space="preserve"> (Polaski 2004)</w:t>
      </w:r>
      <w:r w:rsidRPr="00436B28">
        <w:rPr>
          <w:szCs w:val="24"/>
        </w:rPr>
        <w:t xml:space="preserve">. </w:t>
      </w:r>
      <w:r>
        <w:rPr>
          <w:szCs w:val="24"/>
        </w:rPr>
        <w:t>Of note</w:t>
      </w:r>
      <w:r w:rsidR="00DB50A5">
        <w:rPr>
          <w:szCs w:val="24"/>
        </w:rPr>
        <w:t>,</w:t>
      </w:r>
      <w:r>
        <w:rPr>
          <w:szCs w:val="24"/>
        </w:rPr>
        <w:t xml:space="preserve"> the author argues</w:t>
      </w:r>
      <w:r w:rsidRPr="00436B28">
        <w:rPr>
          <w:szCs w:val="24"/>
        </w:rPr>
        <w:t xml:space="preserve"> the spillover effects from </w:t>
      </w:r>
      <w:r>
        <w:rPr>
          <w:szCs w:val="24"/>
        </w:rPr>
        <w:t>increased activity in local manufacturing</w:t>
      </w:r>
      <w:r w:rsidRPr="00436B28">
        <w:rPr>
          <w:szCs w:val="24"/>
        </w:rPr>
        <w:t xml:space="preserve"> are not present as </w:t>
      </w:r>
      <w:r w:rsidR="00305026">
        <w:rPr>
          <w:szCs w:val="24"/>
        </w:rPr>
        <w:t>many</w:t>
      </w:r>
      <w:r w:rsidRPr="00436B28">
        <w:rPr>
          <w:szCs w:val="24"/>
        </w:rPr>
        <w:t xml:space="preserve"> primary input</w:t>
      </w:r>
      <w:r w:rsidR="00436D75">
        <w:rPr>
          <w:szCs w:val="24"/>
        </w:rPr>
        <w:t>s</w:t>
      </w:r>
      <w:r w:rsidRPr="00436B28">
        <w:rPr>
          <w:szCs w:val="24"/>
        </w:rPr>
        <w:t xml:space="preserve"> for manufactured goods are imported, reducing the multiplier effects o</w:t>
      </w:r>
      <w:r w:rsidR="00DB2F29">
        <w:rPr>
          <w:szCs w:val="24"/>
        </w:rPr>
        <w:t>f</w:t>
      </w:r>
      <w:r w:rsidR="00C53A42">
        <w:rPr>
          <w:szCs w:val="24"/>
        </w:rPr>
        <w:t xml:space="preserve"> associated </w:t>
      </w:r>
      <w:r w:rsidRPr="00436B28">
        <w:rPr>
          <w:szCs w:val="24"/>
        </w:rPr>
        <w:t>lo</w:t>
      </w:r>
      <w:r>
        <w:rPr>
          <w:szCs w:val="24"/>
        </w:rPr>
        <w:t>cal</w:t>
      </w:r>
      <w:r w:rsidRPr="00436B28">
        <w:rPr>
          <w:szCs w:val="24"/>
        </w:rPr>
        <w:t xml:space="preserve"> </w:t>
      </w:r>
      <w:r w:rsidR="004B655A">
        <w:rPr>
          <w:szCs w:val="24"/>
        </w:rPr>
        <w:t xml:space="preserve">market </w:t>
      </w:r>
      <w:r w:rsidRPr="00436B28">
        <w:rPr>
          <w:szCs w:val="24"/>
        </w:rPr>
        <w:t>growth</w:t>
      </w:r>
      <w:r w:rsidR="00DB50A5">
        <w:rPr>
          <w:szCs w:val="24"/>
        </w:rPr>
        <w:t>s</w:t>
      </w:r>
      <w:r w:rsidRPr="00436B28">
        <w:rPr>
          <w:szCs w:val="24"/>
        </w:rPr>
        <w:t>.</w:t>
      </w:r>
    </w:p>
    <w:p w14:paraId="285BA1ED" w14:textId="20139EB6" w:rsidR="00DD4ADD" w:rsidRDefault="005C27E7" w:rsidP="00DD4ADD">
      <w:pPr>
        <w:spacing w:line="480" w:lineRule="auto"/>
        <w:ind w:firstLine="720"/>
        <w:rPr>
          <w:szCs w:val="24"/>
        </w:rPr>
      </w:pPr>
      <w:r>
        <w:rPr>
          <w:szCs w:val="24"/>
        </w:rPr>
        <w:t>I</w:t>
      </w:r>
      <w:r w:rsidR="00DD4ADD">
        <w:rPr>
          <w:szCs w:val="24"/>
        </w:rPr>
        <w:t xml:space="preserve">t was </w:t>
      </w:r>
      <w:r w:rsidR="000C5CA6">
        <w:rPr>
          <w:szCs w:val="24"/>
        </w:rPr>
        <w:t>argued</w:t>
      </w:r>
      <w:r w:rsidR="00DD4ADD">
        <w:rPr>
          <w:szCs w:val="24"/>
        </w:rPr>
        <w:t xml:space="preserve"> that such a large </w:t>
      </w:r>
      <w:r w:rsidR="00870CB4">
        <w:rPr>
          <w:szCs w:val="24"/>
        </w:rPr>
        <w:t xml:space="preserve">free </w:t>
      </w:r>
      <w:r w:rsidR="00DD4ADD">
        <w:rPr>
          <w:szCs w:val="24"/>
        </w:rPr>
        <w:t>trade agreement would contain shocking labor disruptions</w:t>
      </w:r>
      <w:r w:rsidR="00870CB4">
        <w:rPr>
          <w:szCs w:val="24"/>
        </w:rPr>
        <w:t xml:space="preserve"> for all parties involved</w:t>
      </w:r>
      <w:r w:rsidR="00DD4ADD">
        <w:rPr>
          <w:szCs w:val="24"/>
        </w:rPr>
        <w:t xml:space="preserve">. </w:t>
      </w:r>
      <w:r w:rsidR="000C0987" w:rsidRPr="000C0987">
        <w:rPr>
          <w:szCs w:val="24"/>
        </w:rPr>
        <w:t xml:space="preserve">Arends-Kuenning et. al. </w:t>
      </w:r>
      <w:r w:rsidR="002842E1">
        <w:rPr>
          <w:szCs w:val="24"/>
        </w:rPr>
        <w:t>(</w:t>
      </w:r>
      <w:r w:rsidR="00437894">
        <w:rPr>
          <w:szCs w:val="24"/>
        </w:rPr>
        <w:t>2019</w:t>
      </w:r>
      <w:r w:rsidR="002842E1">
        <w:rPr>
          <w:szCs w:val="24"/>
        </w:rPr>
        <w:t>)</w:t>
      </w:r>
      <w:r w:rsidR="00DD4ADD">
        <w:rPr>
          <w:szCs w:val="24"/>
        </w:rPr>
        <w:t xml:space="preserve"> </w:t>
      </w:r>
      <w:r w:rsidR="00105EC1">
        <w:rPr>
          <w:szCs w:val="24"/>
        </w:rPr>
        <w:t>finds</w:t>
      </w:r>
      <w:r w:rsidR="00DD4ADD">
        <w:rPr>
          <w:szCs w:val="24"/>
        </w:rPr>
        <w:t xml:space="preserve"> that there is little literature on the </w:t>
      </w:r>
      <w:r w:rsidR="001324EC">
        <w:rPr>
          <w:szCs w:val="24"/>
        </w:rPr>
        <w:t xml:space="preserve">labor disruptions due to trade </w:t>
      </w:r>
      <w:r w:rsidR="003C6DFE">
        <w:rPr>
          <w:szCs w:val="24"/>
        </w:rPr>
        <w:t>an</w:t>
      </w:r>
      <w:r w:rsidR="009A6003">
        <w:rPr>
          <w:szCs w:val="24"/>
        </w:rPr>
        <w:t>d</w:t>
      </w:r>
      <w:r w:rsidR="003C6DFE">
        <w:rPr>
          <w:szCs w:val="24"/>
        </w:rPr>
        <w:t xml:space="preserve"> its effects</w:t>
      </w:r>
      <w:r w:rsidR="00DD4ADD">
        <w:rPr>
          <w:szCs w:val="24"/>
        </w:rPr>
        <w:t xml:space="preserve"> on </w:t>
      </w:r>
      <w:r w:rsidR="005D044D">
        <w:rPr>
          <w:szCs w:val="24"/>
        </w:rPr>
        <w:t xml:space="preserve">regional </w:t>
      </w:r>
      <w:r w:rsidR="00DD4ADD">
        <w:rPr>
          <w:szCs w:val="24"/>
        </w:rPr>
        <w:t>migration</w:t>
      </w:r>
      <w:r w:rsidR="00876025">
        <w:rPr>
          <w:szCs w:val="24"/>
        </w:rPr>
        <w:t>. The authors</w:t>
      </w:r>
      <w:r w:rsidR="00DD4ADD">
        <w:rPr>
          <w:szCs w:val="24"/>
        </w:rPr>
        <w:t xml:space="preserve"> conclude that trade liberalization has not reduced internal migration</w:t>
      </w:r>
      <w:r w:rsidR="00145B7F">
        <w:rPr>
          <w:szCs w:val="24"/>
        </w:rPr>
        <w:t xml:space="preserve"> within Mexico</w:t>
      </w:r>
      <w:r w:rsidR="00DD4ADD">
        <w:rPr>
          <w:szCs w:val="24"/>
        </w:rPr>
        <w:t xml:space="preserve">. Also, the migration pattern from rural areas to urban areas </w:t>
      </w:r>
      <w:r w:rsidR="00105EC1">
        <w:rPr>
          <w:szCs w:val="24"/>
        </w:rPr>
        <w:t>increased but</w:t>
      </w:r>
      <w:r w:rsidR="00DD4ADD">
        <w:rPr>
          <w:szCs w:val="24"/>
        </w:rPr>
        <w:t xml:space="preserve"> concluded that this may be due to other factors such as the </w:t>
      </w:r>
      <w:r w:rsidR="00677667">
        <w:rPr>
          <w:szCs w:val="24"/>
        </w:rPr>
        <w:t>M</w:t>
      </w:r>
      <w:r w:rsidR="00DD4ADD">
        <w:rPr>
          <w:szCs w:val="24"/>
        </w:rPr>
        <w:t>aquiladora program. The study also found that NAFTA created a larger incentive for migration to the United States</w:t>
      </w:r>
      <w:r w:rsidR="000C0987">
        <w:rPr>
          <w:szCs w:val="24"/>
        </w:rPr>
        <w:t xml:space="preserve"> versus local regional migration.</w:t>
      </w:r>
    </w:p>
    <w:p w14:paraId="5E5FCAE7" w14:textId="62A5B8C2" w:rsidR="00DD4ADD" w:rsidRDefault="00DD4ADD" w:rsidP="00DD4ADD">
      <w:pPr>
        <w:spacing w:line="480" w:lineRule="auto"/>
        <w:ind w:firstLine="720"/>
        <w:rPr>
          <w:szCs w:val="24"/>
        </w:rPr>
      </w:pPr>
      <w:r>
        <w:rPr>
          <w:szCs w:val="24"/>
        </w:rPr>
        <w:t xml:space="preserve">The impact to </w:t>
      </w:r>
      <w:r w:rsidR="007A014F">
        <w:rPr>
          <w:szCs w:val="24"/>
        </w:rPr>
        <w:t xml:space="preserve">rural </w:t>
      </w:r>
      <w:r w:rsidR="001703D3">
        <w:rPr>
          <w:szCs w:val="24"/>
        </w:rPr>
        <w:t>farmers</w:t>
      </w:r>
      <w:r>
        <w:rPr>
          <w:szCs w:val="24"/>
        </w:rPr>
        <w:t xml:space="preserve"> in Mexico was also quite severe. </w:t>
      </w:r>
      <w:r w:rsidR="001703D3">
        <w:rPr>
          <w:szCs w:val="24"/>
        </w:rPr>
        <w:t xml:space="preserve">Using the Mincer function </w:t>
      </w:r>
      <w:r w:rsidR="006C278E">
        <w:rPr>
          <w:szCs w:val="24"/>
        </w:rPr>
        <w:t>as a measure for return</w:t>
      </w:r>
      <w:r w:rsidR="00346670">
        <w:rPr>
          <w:szCs w:val="24"/>
        </w:rPr>
        <w:t>s</w:t>
      </w:r>
      <w:r w:rsidR="006C278E">
        <w:rPr>
          <w:szCs w:val="24"/>
        </w:rPr>
        <w:t xml:space="preserve"> to skill, </w:t>
      </w:r>
      <w:r>
        <w:rPr>
          <w:szCs w:val="24"/>
        </w:rPr>
        <w:t>Otero and Hazarika</w:t>
      </w:r>
      <w:r w:rsidR="00B779C3">
        <w:rPr>
          <w:szCs w:val="24"/>
        </w:rPr>
        <w:t xml:space="preserve"> (2011)</w:t>
      </w:r>
      <w:r w:rsidR="001703D3">
        <w:rPr>
          <w:szCs w:val="24"/>
        </w:rPr>
        <w:t xml:space="preserve"> found that </w:t>
      </w:r>
      <w:r w:rsidR="006C278E">
        <w:rPr>
          <w:szCs w:val="24"/>
        </w:rPr>
        <w:t>North-South trade reduced social welfare</w:t>
      </w:r>
      <w:r w:rsidR="00346670">
        <w:rPr>
          <w:szCs w:val="24"/>
        </w:rPr>
        <w:t xml:space="preserve"> for farmers</w:t>
      </w:r>
      <w:r w:rsidR="006C278E">
        <w:rPr>
          <w:szCs w:val="24"/>
        </w:rPr>
        <w:t xml:space="preserve">. It was found that </w:t>
      </w:r>
      <w:r>
        <w:rPr>
          <w:szCs w:val="24"/>
        </w:rPr>
        <w:t xml:space="preserve">the rise in trade liberalization from GATT improved rural worker’s return to skill from 1986 but actually </w:t>
      </w:r>
      <w:r>
        <w:rPr>
          <w:i/>
          <w:iCs/>
          <w:szCs w:val="24"/>
        </w:rPr>
        <w:t>worsened</w:t>
      </w:r>
      <w:r>
        <w:rPr>
          <w:szCs w:val="24"/>
        </w:rPr>
        <w:t xml:space="preserve"> after NAFTA due to the </w:t>
      </w:r>
      <w:r w:rsidR="00F86C44">
        <w:rPr>
          <w:szCs w:val="24"/>
        </w:rPr>
        <w:t>phased</w:t>
      </w:r>
      <w:r>
        <w:rPr>
          <w:szCs w:val="24"/>
        </w:rPr>
        <w:t xml:space="preserve"> </w:t>
      </w:r>
      <w:r w:rsidR="00A06F87">
        <w:rPr>
          <w:szCs w:val="24"/>
        </w:rPr>
        <w:t xml:space="preserve">nature in tariff reduction </w:t>
      </w:r>
      <w:r>
        <w:rPr>
          <w:szCs w:val="24"/>
        </w:rPr>
        <w:t xml:space="preserve">over the studied period. </w:t>
      </w:r>
    </w:p>
    <w:p w14:paraId="66548329" w14:textId="699F15A0" w:rsidR="00436B28" w:rsidRDefault="00436B28" w:rsidP="00436B28">
      <w:pPr>
        <w:spacing w:line="480" w:lineRule="auto"/>
        <w:rPr>
          <w:b/>
          <w:bCs/>
          <w:szCs w:val="24"/>
        </w:rPr>
      </w:pPr>
      <w:r w:rsidRPr="00436B28">
        <w:rPr>
          <w:b/>
          <w:bCs/>
          <w:szCs w:val="24"/>
        </w:rPr>
        <w:t>Findings</w:t>
      </w:r>
    </w:p>
    <w:p w14:paraId="501B12EA" w14:textId="2183405E" w:rsidR="00C100F8" w:rsidRPr="000E35FC" w:rsidRDefault="004B0DBA" w:rsidP="00F222BF">
      <w:pPr>
        <w:spacing w:line="480" w:lineRule="auto"/>
        <w:ind w:firstLine="720"/>
        <w:rPr>
          <w:szCs w:val="24"/>
        </w:rPr>
      </w:pPr>
      <w:r w:rsidRPr="00436B28">
        <w:rPr>
          <w:szCs w:val="24"/>
        </w:rPr>
        <w:t>Understanding the broad scope of the research topic, this paper conducted a search for reliable</w:t>
      </w:r>
      <w:r w:rsidR="00C607E1">
        <w:rPr>
          <w:szCs w:val="24"/>
        </w:rPr>
        <w:t xml:space="preserve"> primary </w:t>
      </w:r>
      <w:r w:rsidR="00C53ABB">
        <w:rPr>
          <w:szCs w:val="24"/>
        </w:rPr>
        <w:t xml:space="preserve">sources from the Mexican government when </w:t>
      </w:r>
      <w:r w:rsidR="0033550A">
        <w:rPr>
          <w:szCs w:val="24"/>
        </w:rPr>
        <w:t>availa</w:t>
      </w:r>
      <w:r w:rsidR="00C53ABB">
        <w:rPr>
          <w:szCs w:val="24"/>
        </w:rPr>
        <w:t>ble</w:t>
      </w:r>
      <w:r w:rsidR="00937FCA">
        <w:rPr>
          <w:szCs w:val="24"/>
        </w:rPr>
        <w:t xml:space="preserve"> to add updated primary </w:t>
      </w:r>
      <w:r w:rsidR="00937FCA">
        <w:rPr>
          <w:szCs w:val="24"/>
        </w:rPr>
        <w:lastRenderedPageBreak/>
        <w:t>figures to the research body</w:t>
      </w:r>
      <w:r w:rsidRPr="00436B28">
        <w:rPr>
          <w:szCs w:val="24"/>
        </w:rPr>
        <w:t xml:space="preserve">. </w:t>
      </w:r>
      <w:r w:rsidR="00945B50">
        <w:rPr>
          <w:szCs w:val="24"/>
        </w:rPr>
        <w:t>A</w:t>
      </w:r>
      <w:r w:rsidRPr="00436B28">
        <w:rPr>
          <w:szCs w:val="24"/>
        </w:rPr>
        <w:t>s mentioned previously</w:t>
      </w:r>
      <w:r w:rsidR="00A134E9">
        <w:rPr>
          <w:szCs w:val="24"/>
        </w:rPr>
        <w:t>,</w:t>
      </w:r>
      <w:r w:rsidRPr="00436B28">
        <w:rPr>
          <w:szCs w:val="24"/>
        </w:rPr>
        <w:t xml:space="preserve"> there was difficulty in separating the effects of NAFTA from larger macroeconomic factors within the same time period.</w:t>
      </w:r>
      <w:r w:rsidR="00F16909">
        <w:rPr>
          <w:szCs w:val="24"/>
        </w:rPr>
        <w:t xml:space="preserve"> </w:t>
      </w:r>
      <w:r w:rsidR="00372A06">
        <w:rPr>
          <w:szCs w:val="24"/>
        </w:rPr>
        <w:t xml:space="preserve">Further research is needed to develop an econometric model to </w:t>
      </w:r>
      <w:r w:rsidR="00101D9B">
        <w:rPr>
          <w:szCs w:val="24"/>
        </w:rPr>
        <w:t xml:space="preserve">properly </w:t>
      </w:r>
      <w:r w:rsidR="00372A06">
        <w:rPr>
          <w:szCs w:val="24"/>
        </w:rPr>
        <w:t>account for the</w:t>
      </w:r>
      <w:r w:rsidR="00AE341B">
        <w:rPr>
          <w:szCs w:val="24"/>
        </w:rPr>
        <w:t xml:space="preserve">se </w:t>
      </w:r>
      <w:r w:rsidR="00372A06">
        <w:rPr>
          <w:szCs w:val="24"/>
        </w:rPr>
        <w:t>distortions</w:t>
      </w:r>
      <w:r w:rsidR="00AE341B">
        <w:rPr>
          <w:szCs w:val="24"/>
        </w:rPr>
        <w:t xml:space="preserve">. </w:t>
      </w:r>
      <w:r w:rsidR="00BF470E" w:rsidRPr="00087C3C">
        <w:rPr>
          <w:szCs w:val="24"/>
        </w:rPr>
        <w:t xml:space="preserve">The purpose of the </w:t>
      </w:r>
      <w:r w:rsidR="006930BA" w:rsidRPr="00087C3C">
        <w:rPr>
          <w:szCs w:val="24"/>
        </w:rPr>
        <w:t xml:space="preserve">initial </w:t>
      </w:r>
      <w:r w:rsidR="00BF470E" w:rsidRPr="00087C3C">
        <w:rPr>
          <w:szCs w:val="24"/>
        </w:rPr>
        <w:t xml:space="preserve">data findings </w:t>
      </w:r>
      <w:r w:rsidR="009A569B" w:rsidRPr="00087C3C">
        <w:rPr>
          <w:szCs w:val="24"/>
        </w:rPr>
        <w:t>was</w:t>
      </w:r>
      <w:r w:rsidR="00BF470E" w:rsidRPr="00087C3C">
        <w:rPr>
          <w:szCs w:val="24"/>
        </w:rPr>
        <w:t xml:space="preserve"> to establish the relations between the United States</w:t>
      </w:r>
      <w:r w:rsidR="002B34BC" w:rsidRPr="00087C3C">
        <w:rPr>
          <w:szCs w:val="24"/>
        </w:rPr>
        <w:t xml:space="preserve"> and Mexico after NAFTA came into effect. </w:t>
      </w:r>
      <w:r w:rsidR="002C7410" w:rsidRPr="00087C3C">
        <w:rPr>
          <w:szCs w:val="24"/>
        </w:rPr>
        <w:t>Additionally,</w:t>
      </w:r>
      <w:r w:rsidR="006930BA" w:rsidRPr="00087C3C">
        <w:rPr>
          <w:szCs w:val="24"/>
        </w:rPr>
        <w:t xml:space="preserve"> the findings for agricultural and manufacturing employment </w:t>
      </w:r>
      <w:r w:rsidR="002C7410" w:rsidRPr="00087C3C">
        <w:rPr>
          <w:szCs w:val="24"/>
        </w:rPr>
        <w:t xml:space="preserve">within Mexico are </w:t>
      </w:r>
      <w:r w:rsidR="00E5172E" w:rsidRPr="00087C3C">
        <w:rPr>
          <w:szCs w:val="24"/>
        </w:rPr>
        <w:t xml:space="preserve">shown in brief </w:t>
      </w:r>
      <w:r w:rsidR="002C7410" w:rsidRPr="00087C3C">
        <w:rPr>
          <w:szCs w:val="24"/>
        </w:rPr>
        <w:t xml:space="preserve">to provide </w:t>
      </w:r>
      <w:r w:rsidR="00A06F87" w:rsidRPr="00087C3C">
        <w:rPr>
          <w:szCs w:val="24"/>
        </w:rPr>
        <w:t xml:space="preserve">a </w:t>
      </w:r>
      <w:r w:rsidR="00087C3C" w:rsidRPr="00087C3C">
        <w:rPr>
          <w:szCs w:val="24"/>
        </w:rPr>
        <w:t>possible explanation in labor shifts post NAFTA.</w:t>
      </w:r>
    </w:p>
    <w:p w14:paraId="73262BB0" w14:textId="1752C541" w:rsidR="00BF470E" w:rsidRPr="00436B28" w:rsidRDefault="00BF470E" w:rsidP="00BF470E">
      <w:pPr>
        <w:spacing w:line="480" w:lineRule="auto"/>
        <w:ind w:firstLine="720"/>
        <w:rPr>
          <w:szCs w:val="24"/>
        </w:rPr>
      </w:pPr>
      <w:r>
        <w:rPr>
          <w:szCs w:val="24"/>
        </w:rPr>
        <w:t>The following Tabl</w:t>
      </w:r>
      <w:r w:rsidRPr="00436B28">
        <w:rPr>
          <w:szCs w:val="24"/>
        </w:rPr>
        <w:t xml:space="preserve">e </w:t>
      </w:r>
      <w:r w:rsidR="0057146A">
        <w:rPr>
          <w:szCs w:val="24"/>
        </w:rPr>
        <w:t>1</w:t>
      </w:r>
      <w:r w:rsidRPr="00436B28">
        <w:rPr>
          <w:szCs w:val="24"/>
        </w:rPr>
        <w:t xml:space="preserve"> shows U.S. merchandise trade among its top five trading partners for 2019. Of note, the </w:t>
      </w:r>
      <w:r w:rsidR="009E1BD7">
        <w:rPr>
          <w:szCs w:val="24"/>
        </w:rPr>
        <w:t>American trade deficit</w:t>
      </w:r>
      <w:r w:rsidRPr="00436B28">
        <w:rPr>
          <w:szCs w:val="24"/>
        </w:rPr>
        <w:t xml:space="preserve"> with China is substantially larger than Mexico</w:t>
      </w:r>
      <w:r>
        <w:rPr>
          <w:szCs w:val="24"/>
        </w:rPr>
        <w:t xml:space="preserve"> by $243,879 million.</w:t>
      </w:r>
      <w:r w:rsidR="00951BCD">
        <w:rPr>
          <w:szCs w:val="24"/>
        </w:rPr>
        <w:t xml:space="preserve"> </w:t>
      </w:r>
      <w:r w:rsidR="00121DD3">
        <w:rPr>
          <w:szCs w:val="24"/>
        </w:rPr>
        <w:t>Accounting for the larger trade deficit are Chinese imports that far surpass Mexican imports by $94,132 million.</w:t>
      </w:r>
    </w:p>
    <w:tbl>
      <w:tblPr>
        <w:tblW w:w="10524" w:type="dxa"/>
        <w:tblInd w:w="-592" w:type="dxa"/>
        <w:tblLook w:val="04A0" w:firstRow="1" w:lastRow="0" w:firstColumn="1" w:lastColumn="0" w:noHBand="0" w:noVBand="1"/>
      </w:tblPr>
      <w:tblGrid>
        <w:gridCol w:w="985"/>
        <w:gridCol w:w="1112"/>
        <w:gridCol w:w="1659"/>
        <w:gridCol w:w="1870"/>
        <w:gridCol w:w="1512"/>
        <w:gridCol w:w="1660"/>
        <w:gridCol w:w="1726"/>
      </w:tblGrid>
      <w:tr w:rsidR="00BF470E" w:rsidRPr="00E30BE9" w14:paraId="3AFD6066" w14:textId="77777777" w:rsidTr="006D4B97">
        <w:trPr>
          <w:trHeight w:val="404"/>
        </w:trPr>
        <w:tc>
          <w:tcPr>
            <w:tcW w:w="985" w:type="dxa"/>
            <w:tcBorders>
              <w:bottom w:val="single" w:sz="4" w:space="0" w:color="auto"/>
            </w:tcBorders>
            <w:shd w:val="clear" w:color="auto" w:fill="auto"/>
            <w:noWrap/>
            <w:vAlign w:val="center"/>
            <w:hideMark/>
          </w:tcPr>
          <w:p w14:paraId="1A66F2A1" w14:textId="49B1DDAE" w:rsidR="00BF470E" w:rsidRPr="00D30988" w:rsidRDefault="00BF470E" w:rsidP="00B06793">
            <w:pPr>
              <w:spacing w:after="0" w:line="240" w:lineRule="auto"/>
              <w:rPr>
                <w:rFonts w:ascii="Calibri" w:eastAsia="Times New Roman" w:hAnsi="Calibri" w:cs="Calibri"/>
                <w:color w:val="000000"/>
              </w:rPr>
            </w:pPr>
            <w:r w:rsidRPr="00D30988">
              <w:rPr>
                <w:rFonts w:ascii="Calibri" w:eastAsia="Times New Roman" w:hAnsi="Calibri" w:cs="Calibri"/>
                <w:color w:val="000000"/>
              </w:rPr>
              <w:t xml:space="preserve">Table 1 </w:t>
            </w:r>
          </w:p>
        </w:tc>
        <w:tc>
          <w:tcPr>
            <w:tcW w:w="9539" w:type="dxa"/>
            <w:gridSpan w:val="6"/>
            <w:tcBorders>
              <w:bottom w:val="single" w:sz="4" w:space="0" w:color="auto"/>
            </w:tcBorders>
            <w:shd w:val="clear" w:color="auto" w:fill="auto"/>
            <w:vAlign w:val="center"/>
          </w:tcPr>
          <w:p w14:paraId="7A76CF58" w14:textId="139EB19E" w:rsidR="00BF470E" w:rsidRPr="007F48EF" w:rsidRDefault="00BF470E" w:rsidP="00B06793">
            <w:pPr>
              <w:spacing w:after="0" w:line="240" w:lineRule="auto"/>
              <w:jc w:val="center"/>
              <w:rPr>
                <w:rFonts w:ascii="Calibri" w:eastAsia="Times New Roman" w:hAnsi="Calibri" w:cs="Calibri"/>
                <w:b/>
                <w:bCs/>
                <w:color w:val="000000"/>
              </w:rPr>
            </w:pPr>
            <w:r w:rsidRPr="007F48EF">
              <w:rPr>
                <w:rFonts w:ascii="Calibri" w:eastAsia="Times New Roman" w:hAnsi="Calibri" w:cs="Calibri"/>
                <w:b/>
                <w:bCs/>
                <w:color w:val="000000"/>
              </w:rPr>
              <w:t>U.S. Top 5 Trading Partners</w:t>
            </w:r>
            <w:r w:rsidR="00D25CFD">
              <w:rPr>
                <w:rFonts w:ascii="Calibri" w:eastAsia="Times New Roman" w:hAnsi="Calibri" w:cs="Calibri"/>
                <w:b/>
                <w:bCs/>
                <w:color w:val="000000"/>
              </w:rPr>
              <w:t xml:space="preserve"> 2019</w:t>
            </w:r>
          </w:p>
        </w:tc>
      </w:tr>
      <w:tr w:rsidR="00BF470E" w:rsidRPr="00E30BE9" w14:paraId="3211666D" w14:textId="77777777" w:rsidTr="00937FCA">
        <w:trPr>
          <w:trHeight w:val="359"/>
        </w:trPr>
        <w:tc>
          <w:tcPr>
            <w:tcW w:w="985" w:type="dxa"/>
            <w:tcBorders>
              <w:top w:val="single" w:sz="4" w:space="0" w:color="auto"/>
              <w:bottom w:val="single" w:sz="4" w:space="0" w:color="auto"/>
            </w:tcBorders>
            <w:shd w:val="clear" w:color="auto" w:fill="auto"/>
            <w:noWrap/>
            <w:vAlign w:val="center"/>
            <w:hideMark/>
          </w:tcPr>
          <w:p w14:paraId="25680598"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Rank</w:t>
            </w:r>
          </w:p>
        </w:tc>
        <w:tc>
          <w:tcPr>
            <w:tcW w:w="1112" w:type="dxa"/>
            <w:tcBorders>
              <w:top w:val="single" w:sz="4" w:space="0" w:color="auto"/>
              <w:bottom w:val="single" w:sz="4" w:space="0" w:color="auto"/>
            </w:tcBorders>
            <w:shd w:val="clear" w:color="auto" w:fill="auto"/>
            <w:noWrap/>
            <w:vAlign w:val="center"/>
            <w:hideMark/>
          </w:tcPr>
          <w:p w14:paraId="22AB5836"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Country</w:t>
            </w:r>
          </w:p>
        </w:tc>
        <w:tc>
          <w:tcPr>
            <w:tcW w:w="1659" w:type="dxa"/>
            <w:tcBorders>
              <w:top w:val="single" w:sz="4" w:space="0" w:color="auto"/>
              <w:bottom w:val="single" w:sz="4" w:space="0" w:color="auto"/>
            </w:tcBorders>
            <w:shd w:val="clear" w:color="auto" w:fill="auto"/>
            <w:noWrap/>
            <w:vAlign w:val="center"/>
            <w:hideMark/>
          </w:tcPr>
          <w:p w14:paraId="2263C7BE" w14:textId="452B61F1"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 xml:space="preserve">Total </w:t>
            </w:r>
            <w:r w:rsidR="00CE4AD7">
              <w:rPr>
                <w:rFonts w:ascii="Calibri" w:eastAsia="Times New Roman" w:hAnsi="Calibri" w:cs="Calibri"/>
                <w:color w:val="000000"/>
              </w:rPr>
              <w:t>E</w:t>
            </w:r>
            <w:r w:rsidRPr="00E30BE9">
              <w:rPr>
                <w:rFonts w:ascii="Calibri" w:eastAsia="Times New Roman" w:hAnsi="Calibri" w:cs="Calibri"/>
                <w:color w:val="000000"/>
              </w:rPr>
              <w:t>xports (</w:t>
            </w:r>
            <w:r>
              <w:rPr>
                <w:rFonts w:ascii="Calibri" w:eastAsia="Times New Roman" w:hAnsi="Calibri" w:cs="Calibri"/>
                <w:color w:val="000000"/>
              </w:rPr>
              <w:t>M</w:t>
            </w:r>
            <w:r w:rsidRPr="00E30BE9">
              <w:rPr>
                <w:rFonts w:ascii="Calibri" w:eastAsia="Times New Roman" w:hAnsi="Calibri" w:cs="Calibri"/>
                <w:color w:val="000000"/>
              </w:rPr>
              <w:t xml:space="preserve">illion </w:t>
            </w:r>
            <w:r>
              <w:rPr>
                <w:rFonts w:ascii="Calibri" w:eastAsia="Times New Roman" w:hAnsi="Calibri" w:cs="Calibri"/>
                <w:color w:val="000000"/>
              </w:rPr>
              <w:t>USD</w:t>
            </w:r>
            <w:r w:rsidRPr="00E30BE9">
              <w:rPr>
                <w:rFonts w:ascii="Calibri" w:eastAsia="Times New Roman" w:hAnsi="Calibri" w:cs="Calibri"/>
                <w:color w:val="000000"/>
              </w:rPr>
              <w:t>)</w:t>
            </w:r>
          </w:p>
        </w:tc>
        <w:tc>
          <w:tcPr>
            <w:tcW w:w="1870" w:type="dxa"/>
            <w:tcBorders>
              <w:top w:val="single" w:sz="4" w:space="0" w:color="auto"/>
              <w:bottom w:val="single" w:sz="4" w:space="0" w:color="auto"/>
            </w:tcBorders>
            <w:shd w:val="clear" w:color="auto" w:fill="auto"/>
            <w:noWrap/>
            <w:vAlign w:val="center"/>
            <w:hideMark/>
          </w:tcPr>
          <w:p w14:paraId="68F2795F" w14:textId="1ADA8767"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 xml:space="preserve">General </w:t>
            </w:r>
            <w:r w:rsidR="00CE4AD7">
              <w:rPr>
                <w:rFonts w:ascii="Calibri" w:eastAsia="Times New Roman" w:hAnsi="Calibri" w:cs="Calibri"/>
                <w:color w:val="000000"/>
              </w:rPr>
              <w:t>I</w:t>
            </w:r>
            <w:r w:rsidRPr="00E30BE9">
              <w:rPr>
                <w:rFonts w:ascii="Calibri" w:eastAsia="Times New Roman" w:hAnsi="Calibri" w:cs="Calibri"/>
                <w:color w:val="000000"/>
              </w:rPr>
              <w:t>mports (</w:t>
            </w:r>
            <w:r>
              <w:rPr>
                <w:rFonts w:ascii="Calibri" w:eastAsia="Times New Roman" w:hAnsi="Calibri" w:cs="Calibri"/>
                <w:color w:val="000000"/>
              </w:rPr>
              <w:t>M</w:t>
            </w:r>
            <w:r w:rsidRPr="00E30BE9">
              <w:rPr>
                <w:rFonts w:ascii="Calibri" w:eastAsia="Times New Roman" w:hAnsi="Calibri" w:cs="Calibri"/>
                <w:color w:val="000000"/>
              </w:rPr>
              <w:t xml:space="preserve">illion </w:t>
            </w:r>
            <w:r>
              <w:rPr>
                <w:rFonts w:ascii="Calibri" w:eastAsia="Times New Roman" w:hAnsi="Calibri" w:cs="Calibri"/>
                <w:color w:val="000000"/>
              </w:rPr>
              <w:t>USD</w:t>
            </w:r>
            <w:r w:rsidRPr="00E30BE9">
              <w:rPr>
                <w:rFonts w:ascii="Calibri" w:eastAsia="Times New Roman" w:hAnsi="Calibri" w:cs="Calibri"/>
                <w:color w:val="000000"/>
              </w:rPr>
              <w:t>)</w:t>
            </w:r>
          </w:p>
        </w:tc>
        <w:tc>
          <w:tcPr>
            <w:tcW w:w="1512" w:type="dxa"/>
            <w:tcBorders>
              <w:top w:val="single" w:sz="4" w:space="0" w:color="auto"/>
              <w:bottom w:val="single" w:sz="4" w:space="0" w:color="auto"/>
            </w:tcBorders>
            <w:shd w:val="clear" w:color="auto" w:fill="auto"/>
            <w:noWrap/>
            <w:vAlign w:val="center"/>
            <w:hideMark/>
          </w:tcPr>
          <w:p w14:paraId="392717F0" w14:textId="08629F38"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 xml:space="preserve">Total </w:t>
            </w:r>
            <w:r w:rsidR="00CE4AD7">
              <w:rPr>
                <w:rFonts w:ascii="Calibri" w:eastAsia="Times New Roman" w:hAnsi="Calibri" w:cs="Calibri"/>
                <w:color w:val="000000"/>
              </w:rPr>
              <w:t>T</w:t>
            </w:r>
            <w:r w:rsidRPr="00E30BE9">
              <w:rPr>
                <w:rFonts w:ascii="Calibri" w:eastAsia="Times New Roman" w:hAnsi="Calibri" w:cs="Calibri"/>
                <w:color w:val="000000"/>
              </w:rPr>
              <w:t>rade (</w:t>
            </w:r>
            <w:r>
              <w:rPr>
                <w:rFonts w:ascii="Calibri" w:eastAsia="Times New Roman" w:hAnsi="Calibri" w:cs="Calibri"/>
                <w:color w:val="000000"/>
              </w:rPr>
              <w:t>M</w:t>
            </w:r>
            <w:r w:rsidRPr="00E30BE9">
              <w:rPr>
                <w:rFonts w:ascii="Calibri" w:eastAsia="Times New Roman" w:hAnsi="Calibri" w:cs="Calibri"/>
                <w:color w:val="000000"/>
              </w:rPr>
              <w:t xml:space="preserve">illion </w:t>
            </w:r>
            <w:r>
              <w:rPr>
                <w:rFonts w:ascii="Calibri" w:eastAsia="Times New Roman" w:hAnsi="Calibri" w:cs="Calibri"/>
                <w:color w:val="000000"/>
              </w:rPr>
              <w:t>USD</w:t>
            </w:r>
            <w:r w:rsidRPr="00E30BE9">
              <w:rPr>
                <w:rFonts w:ascii="Calibri" w:eastAsia="Times New Roman" w:hAnsi="Calibri" w:cs="Calibri"/>
                <w:color w:val="000000"/>
              </w:rPr>
              <w:t>)</w:t>
            </w:r>
          </w:p>
        </w:tc>
        <w:tc>
          <w:tcPr>
            <w:tcW w:w="1660" w:type="dxa"/>
            <w:tcBorders>
              <w:top w:val="single" w:sz="4" w:space="0" w:color="auto"/>
              <w:bottom w:val="single" w:sz="4" w:space="0" w:color="auto"/>
            </w:tcBorders>
            <w:shd w:val="clear" w:color="auto" w:fill="auto"/>
            <w:noWrap/>
            <w:vAlign w:val="center"/>
            <w:hideMark/>
          </w:tcPr>
          <w:p w14:paraId="2BCE37A4" w14:textId="7FAC8046"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 xml:space="preserve">Share of </w:t>
            </w:r>
            <w:r w:rsidR="00CE4AD7">
              <w:rPr>
                <w:rFonts w:ascii="Calibri" w:eastAsia="Times New Roman" w:hAnsi="Calibri" w:cs="Calibri"/>
                <w:color w:val="000000"/>
              </w:rPr>
              <w:t>T</w:t>
            </w:r>
            <w:r w:rsidRPr="00E30BE9">
              <w:rPr>
                <w:rFonts w:ascii="Calibri" w:eastAsia="Times New Roman" w:hAnsi="Calibri" w:cs="Calibri"/>
                <w:color w:val="000000"/>
              </w:rPr>
              <w:t xml:space="preserve">otal </w:t>
            </w:r>
            <w:r w:rsidR="00CE4AD7">
              <w:rPr>
                <w:rFonts w:ascii="Calibri" w:eastAsia="Times New Roman" w:hAnsi="Calibri" w:cs="Calibri"/>
                <w:color w:val="000000"/>
              </w:rPr>
              <w:t>T</w:t>
            </w:r>
            <w:r w:rsidRPr="00E30BE9">
              <w:rPr>
                <w:rFonts w:ascii="Calibri" w:eastAsia="Times New Roman" w:hAnsi="Calibri" w:cs="Calibri"/>
                <w:color w:val="000000"/>
              </w:rPr>
              <w:t>rade</w:t>
            </w:r>
            <w:r w:rsidR="006D4B97">
              <w:rPr>
                <w:rFonts w:ascii="Calibri" w:eastAsia="Times New Roman" w:hAnsi="Calibri" w:cs="Calibri"/>
                <w:color w:val="000000"/>
              </w:rPr>
              <w:t xml:space="preserve"> (%)</w:t>
            </w:r>
          </w:p>
        </w:tc>
        <w:tc>
          <w:tcPr>
            <w:tcW w:w="1726" w:type="dxa"/>
            <w:tcBorders>
              <w:top w:val="single" w:sz="4" w:space="0" w:color="auto"/>
              <w:bottom w:val="single" w:sz="4" w:space="0" w:color="auto"/>
            </w:tcBorders>
            <w:shd w:val="clear" w:color="auto" w:fill="auto"/>
            <w:noWrap/>
            <w:vAlign w:val="center"/>
            <w:hideMark/>
          </w:tcPr>
          <w:p w14:paraId="2139662C" w14:textId="77777777" w:rsidR="00BF470E" w:rsidRPr="00E30BE9" w:rsidRDefault="00BF470E" w:rsidP="00937FCA">
            <w:pPr>
              <w:spacing w:after="0" w:line="240" w:lineRule="auto"/>
              <w:jc w:val="right"/>
              <w:rPr>
                <w:rFonts w:ascii="Calibri" w:eastAsia="Times New Roman" w:hAnsi="Calibri" w:cs="Calibri"/>
                <w:color w:val="000000"/>
              </w:rPr>
            </w:pPr>
            <w:r w:rsidRPr="00E30BE9">
              <w:rPr>
                <w:rFonts w:ascii="Calibri" w:eastAsia="Times New Roman" w:hAnsi="Calibri" w:cs="Calibri"/>
                <w:color w:val="000000"/>
              </w:rPr>
              <w:t>Trade Balance (</w:t>
            </w:r>
            <w:r>
              <w:rPr>
                <w:rFonts w:ascii="Calibri" w:eastAsia="Times New Roman" w:hAnsi="Calibri" w:cs="Calibri"/>
                <w:color w:val="000000"/>
              </w:rPr>
              <w:t>M</w:t>
            </w:r>
            <w:r w:rsidRPr="00E30BE9">
              <w:rPr>
                <w:rFonts w:ascii="Calibri" w:eastAsia="Times New Roman" w:hAnsi="Calibri" w:cs="Calibri"/>
                <w:color w:val="000000"/>
              </w:rPr>
              <w:t xml:space="preserve">illion </w:t>
            </w:r>
            <w:r>
              <w:rPr>
                <w:rFonts w:ascii="Calibri" w:eastAsia="Times New Roman" w:hAnsi="Calibri" w:cs="Calibri"/>
                <w:color w:val="000000"/>
              </w:rPr>
              <w:t>USD</w:t>
            </w:r>
            <w:r w:rsidRPr="00E30BE9">
              <w:rPr>
                <w:rFonts w:ascii="Calibri" w:eastAsia="Times New Roman" w:hAnsi="Calibri" w:cs="Calibri"/>
                <w:color w:val="000000"/>
              </w:rPr>
              <w:t>)</w:t>
            </w:r>
          </w:p>
        </w:tc>
      </w:tr>
      <w:tr w:rsidR="00BF470E" w:rsidRPr="00E30BE9" w14:paraId="57834C8D" w14:textId="77777777" w:rsidTr="00937FCA">
        <w:trPr>
          <w:trHeight w:val="257"/>
        </w:trPr>
        <w:tc>
          <w:tcPr>
            <w:tcW w:w="985" w:type="dxa"/>
            <w:tcBorders>
              <w:top w:val="single" w:sz="4" w:space="0" w:color="auto"/>
            </w:tcBorders>
            <w:shd w:val="clear" w:color="auto" w:fill="auto"/>
            <w:noWrap/>
            <w:vAlign w:val="center"/>
            <w:hideMark/>
          </w:tcPr>
          <w:p w14:paraId="60931F2A"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1</w:t>
            </w:r>
          </w:p>
        </w:tc>
        <w:tc>
          <w:tcPr>
            <w:tcW w:w="1112" w:type="dxa"/>
            <w:tcBorders>
              <w:top w:val="single" w:sz="4" w:space="0" w:color="auto"/>
            </w:tcBorders>
            <w:shd w:val="clear" w:color="auto" w:fill="auto"/>
            <w:noWrap/>
            <w:vAlign w:val="center"/>
            <w:hideMark/>
          </w:tcPr>
          <w:p w14:paraId="071F779C"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Mexico</w:t>
            </w:r>
          </w:p>
        </w:tc>
        <w:tc>
          <w:tcPr>
            <w:tcW w:w="1659" w:type="dxa"/>
            <w:tcBorders>
              <w:top w:val="single" w:sz="4" w:space="0" w:color="auto"/>
            </w:tcBorders>
            <w:shd w:val="clear" w:color="auto" w:fill="auto"/>
            <w:noWrap/>
            <w:vAlign w:val="center"/>
            <w:hideMark/>
          </w:tcPr>
          <w:p w14:paraId="5D3C5DFB" w14:textId="34922FF8"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256,374</w:t>
            </w:r>
          </w:p>
        </w:tc>
        <w:tc>
          <w:tcPr>
            <w:tcW w:w="1870" w:type="dxa"/>
            <w:tcBorders>
              <w:top w:val="single" w:sz="4" w:space="0" w:color="auto"/>
            </w:tcBorders>
            <w:shd w:val="clear" w:color="auto" w:fill="auto"/>
            <w:noWrap/>
            <w:vAlign w:val="center"/>
            <w:hideMark/>
          </w:tcPr>
          <w:p w14:paraId="6FEE5CDE" w14:textId="0DC169E7"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358,108</w:t>
            </w:r>
          </w:p>
        </w:tc>
        <w:tc>
          <w:tcPr>
            <w:tcW w:w="1512" w:type="dxa"/>
            <w:tcBorders>
              <w:top w:val="single" w:sz="4" w:space="0" w:color="auto"/>
            </w:tcBorders>
            <w:shd w:val="clear" w:color="auto" w:fill="auto"/>
            <w:noWrap/>
            <w:vAlign w:val="center"/>
            <w:hideMark/>
          </w:tcPr>
          <w:p w14:paraId="266DA610" w14:textId="1B86DA1E"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614,482</w:t>
            </w:r>
          </w:p>
        </w:tc>
        <w:tc>
          <w:tcPr>
            <w:tcW w:w="1660" w:type="dxa"/>
            <w:tcBorders>
              <w:top w:val="single" w:sz="4" w:space="0" w:color="auto"/>
            </w:tcBorders>
            <w:shd w:val="clear" w:color="auto" w:fill="auto"/>
            <w:noWrap/>
            <w:vAlign w:val="center"/>
            <w:hideMark/>
          </w:tcPr>
          <w:p w14:paraId="57887F90" w14:textId="75A70B31"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14.8</w:t>
            </w:r>
          </w:p>
        </w:tc>
        <w:tc>
          <w:tcPr>
            <w:tcW w:w="1726" w:type="dxa"/>
            <w:tcBorders>
              <w:top w:val="single" w:sz="4" w:space="0" w:color="auto"/>
            </w:tcBorders>
            <w:shd w:val="clear" w:color="auto" w:fill="auto"/>
            <w:noWrap/>
            <w:vAlign w:val="center"/>
            <w:hideMark/>
          </w:tcPr>
          <w:p w14:paraId="2A92A9A8" w14:textId="2BBF6FA8" w:rsidR="00BF470E" w:rsidRPr="00E30BE9" w:rsidRDefault="00BF470E" w:rsidP="00937FCA">
            <w:pPr>
              <w:spacing w:after="0" w:line="240" w:lineRule="auto"/>
              <w:jc w:val="right"/>
              <w:rPr>
                <w:rFonts w:ascii="Calibri" w:eastAsia="Times New Roman" w:hAnsi="Calibri" w:cs="Calibri"/>
                <w:color w:val="000000"/>
              </w:rPr>
            </w:pPr>
            <w:r w:rsidRPr="00E30BE9">
              <w:rPr>
                <w:rFonts w:ascii="Calibri" w:eastAsia="Times New Roman" w:hAnsi="Calibri" w:cs="Calibri"/>
                <w:color w:val="000000"/>
              </w:rPr>
              <w:t>-101,734</w:t>
            </w:r>
          </w:p>
        </w:tc>
      </w:tr>
      <w:tr w:rsidR="00BF470E" w:rsidRPr="00E30BE9" w14:paraId="148D8C2E" w14:textId="77777777" w:rsidTr="00937FCA">
        <w:trPr>
          <w:trHeight w:val="257"/>
        </w:trPr>
        <w:tc>
          <w:tcPr>
            <w:tcW w:w="985" w:type="dxa"/>
            <w:shd w:val="clear" w:color="auto" w:fill="auto"/>
            <w:noWrap/>
            <w:vAlign w:val="center"/>
            <w:hideMark/>
          </w:tcPr>
          <w:p w14:paraId="631C91BD"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2</w:t>
            </w:r>
          </w:p>
        </w:tc>
        <w:tc>
          <w:tcPr>
            <w:tcW w:w="1112" w:type="dxa"/>
            <w:shd w:val="clear" w:color="auto" w:fill="auto"/>
            <w:noWrap/>
            <w:vAlign w:val="center"/>
            <w:hideMark/>
          </w:tcPr>
          <w:p w14:paraId="5A0FFBAA"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Canada</w:t>
            </w:r>
          </w:p>
        </w:tc>
        <w:tc>
          <w:tcPr>
            <w:tcW w:w="1659" w:type="dxa"/>
            <w:shd w:val="clear" w:color="auto" w:fill="auto"/>
            <w:noWrap/>
            <w:vAlign w:val="center"/>
            <w:hideMark/>
          </w:tcPr>
          <w:p w14:paraId="32369A33" w14:textId="67471A9A"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292,382</w:t>
            </w:r>
          </w:p>
        </w:tc>
        <w:tc>
          <w:tcPr>
            <w:tcW w:w="1870" w:type="dxa"/>
            <w:shd w:val="clear" w:color="auto" w:fill="auto"/>
            <w:noWrap/>
            <w:vAlign w:val="center"/>
            <w:hideMark/>
          </w:tcPr>
          <w:p w14:paraId="73C67083" w14:textId="500882AE"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319,728</w:t>
            </w:r>
          </w:p>
        </w:tc>
        <w:tc>
          <w:tcPr>
            <w:tcW w:w="1512" w:type="dxa"/>
            <w:shd w:val="clear" w:color="auto" w:fill="auto"/>
            <w:noWrap/>
            <w:vAlign w:val="center"/>
            <w:hideMark/>
          </w:tcPr>
          <w:p w14:paraId="1ED75790" w14:textId="1F6A6B32"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612,110</w:t>
            </w:r>
          </w:p>
        </w:tc>
        <w:tc>
          <w:tcPr>
            <w:tcW w:w="1660" w:type="dxa"/>
            <w:shd w:val="clear" w:color="auto" w:fill="auto"/>
            <w:noWrap/>
            <w:vAlign w:val="center"/>
            <w:hideMark/>
          </w:tcPr>
          <w:p w14:paraId="46470076" w14:textId="24653D02"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14.8</w:t>
            </w:r>
          </w:p>
        </w:tc>
        <w:tc>
          <w:tcPr>
            <w:tcW w:w="1726" w:type="dxa"/>
            <w:shd w:val="clear" w:color="auto" w:fill="auto"/>
            <w:noWrap/>
            <w:vAlign w:val="center"/>
            <w:hideMark/>
          </w:tcPr>
          <w:p w14:paraId="2CE97DD8" w14:textId="6A2B4171" w:rsidR="00BF470E" w:rsidRPr="00E30BE9" w:rsidRDefault="00BF470E" w:rsidP="00937FCA">
            <w:pPr>
              <w:spacing w:after="0" w:line="240" w:lineRule="auto"/>
              <w:jc w:val="right"/>
              <w:rPr>
                <w:rFonts w:ascii="Calibri" w:eastAsia="Times New Roman" w:hAnsi="Calibri" w:cs="Calibri"/>
                <w:color w:val="000000"/>
              </w:rPr>
            </w:pPr>
            <w:r w:rsidRPr="00E30BE9">
              <w:rPr>
                <w:rFonts w:ascii="Calibri" w:eastAsia="Times New Roman" w:hAnsi="Calibri" w:cs="Calibri"/>
                <w:color w:val="000000"/>
              </w:rPr>
              <w:t>-27,346</w:t>
            </w:r>
          </w:p>
        </w:tc>
      </w:tr>
      <w:tr w:rsidR="00BF470E" w:rsidRPr="00E30BE9" w14:paraId="379B6ADC" w14:textId="77777777" w:rsidTr="00937FCA">
        <w:trPr>
          <w:trHeight w:val="257"/>
        </w:trPr>
        <w:tc>
          <w:tcPr>
            <w:tcW w:w="985" w:type="dxa"/>
            <w:shd w:val="clear" w:color="auto" w:fill="auto"/>
            <w:noWrap/>
            <w:vAlign w:val="center"/>
            <w:hideMark/>
          </w:tcPr>
          <w:p w14:paraId="154789D8"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3</w:t>
            </w:r>
          </w:p>
        </w:tc>
        <w:tc>
          <w:tcPr>
            <w:tcW w:w="1112" w:type="dxa"/>
            <w:shd w:val="clear" w:color="auto" w:fill="auto"/>
            <w:noWrap/>
            <w:vAlign w:val="center"/>
            <w:hideMark/>
          </w:tcPr>
          <w:p w14:paraId="747FE1BB"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China</w:t>
            </w:r>
          </w:p>
        </w:tc>
        <w:tc>
          <w:tcPr>
            <w:tcW w:w="1659" w:type="dxa"/>
            <w:shd w:val="clear" w:color="auto" w:fill="auto"/>
            <w:noWrap/>
            <w:vAlign w:val="center"/>
            <w:hideMark/>
          </w:tcPr>
          <w:p w14:paraId="6903C0F6" w14:textId="2DD47A29"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106,627</w:t>
            </w:r>
          </w:p>
        </w:tc>
        <w:tc>
          <w:tcPr>
            <w:tcW w:w="1870" w:type="dxa"/>
            <w:shd w:val="clear" w:color="auto" w:fill="auto"/>
            <w:noWrap/>
            <w:vAlign w:val="center"/>
            <w:hideMark/>
          </w:tcPr>
          <w:p w14:paraId="500E8B49" w14:textId="718A3D27"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452,240</w:t>
            </w:r>
          </w:p>
        </w:tc>
        <w:tc>
          <w:tcPr>
            <w:tcW w:w="1512" w:type="dxa"/>
            <w:shd w:val="clear" w:color="auto" w:fill="auto"/>
            <w:noWrap/>
            <w:vAlign w:val="center"/>
            <w:hideMark/>
          </w:tcPr>
          <w:p w14:paraId="59025B44" w14:textId="509F1CC7"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558,866</w:t>
            </w:r>
          </w:p>
        </w:tc>
        <w:tc>
          <w:tcPr>
            <w:tcW w:w="1660" w:type="dxa"/>
            <w:shd w:val="clear" w:color="auto" w:fill="auto"/>
            <w:noWrap/>
            <w:vAlign w:val="center"/>
            <w:hideMark/>
          </w:tcPr>
          <w:p w14:paraId="4A74212F" w14:textId="5AE236FD"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13.5</w:t>
            </w:r>
          </w:p>
        </w:tc>
        <w:tc>
          <w:tcPr>
            <w:tcW w:w="1726" w:type="dxa"/>
            <w:shd w:val="clear" w:color="auto" w:fill="auto"/>
            <w:noWrap/>
            <w:vAlign w:val="center"/>
            <w:hideMark/>
          </w:tcPr>
          <w:p w14:paraId="6429EDFA" w14:textId="187A7BD9" w:rsidR="00BF470E" w:rsidRPr="00E30BE9" w:rsidRDefault="00BF470E" w:rsidP="00937FCA">
            <w:pPr>
              <w:spacing w:after="0" w:line="240" w:lineRule="auto"/>
              <w:jc w:val="right"/>
              <w:rPr>
                <w:rFonts w:ascii="Calibri" w:eastAsia="Times New Roman" w:hAnsi="Calibri" w:cs="Calibri"/>
                <w:color w:val="000000"/>
              </w:rPr>
            </w:pPr>
            <w:r w:rsidRPr="00E30BE9">
              <w:rPr>
                <w:rFonts w:ascii="Calibri" w:eastAsia="Times New Roman" w:hAnsi="Calibri" w:cs="Calibri"/>
                <w:color w:val="000000"/>
              </w:rPr>
              <w:t>-345,613</w:t>
            </w:r>
          </w:p>
        </w:tc>
      </w:tr>
      <w:tr w:rsidR="00BF470E" w:rsidRPr="00E30BE9" w14:paraId="407E2C7A" w14:textId="77777777" w:rsidTr="00937FCA">
        <w:trPr>
          <w:trHeight w:val="257"/>
        </w:trPr>
        <w:tc>
          <w:tcPr>
            <w:tcW w:w="985" w:type="dxa"/>
            <w:shd w:val="clear" w:color="auto" w:fill="auto"/>
            <w:noWrap/>
            <w:vAlign w:val="center"/>
            <w:hideMark/>
          </w:tcPr>
          <w:p w14:paraId="605F47FF"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4</w:t>
            </w:r>
          </w:p>
        </w:tc>
        <w:tc>
          <w:tcPr>
            <w:tcW w:w="1112" w:type="dxa"/>
            <w:shd w:val="clear" w:color="auto" w:fill="auto"/>
            <w:noWrap/>
            <w:vAlign w:val="center"/>
            <w:hideMark/>
          </w:tcPr>
          <w:p w14:paraId="4259E5D1"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Japan</w:t>
            </w:r>
          </w:p>
        </w:tc>
        <w:tc>
          <w:tcPr>
            <w:tcW w:w="1659" w:type="dxa"/>
            <w:shd w:val="clear" w:color="auto" w:fill="auto"/>
            <w:noWrap/>
            <w:vAlign w:val="center"/>
            <w:hideMark/>
          </w:tcPr>
          <w:p w14:paraId="0DD25726" w14:textId="4B5F462B"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74,653</w:t>
            </w:r>
          </w:p>
        </w:tc>
        <w:tc>
          <w:tcPr>
            <w:tcW w:w="1870" w:type="dxa"/>
            <w:shd w:val="clear" w:color="auto" w:fill="auto"/>
            <w:noWrap/>
            <w:vAlign w:val="center"/>
            <w:hideMark/>
          </w:tcPr>
          <w:p w14:paraId="59660693" w14:textId="5F58E93E"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143,636</w:t>
            </w:r>
          </w:p>
        </w:tc>
        <w:tc>
          <w:tcPr>
            <w:tcW w:w="1512" w:type="dxa"/>
            <w:shd w:val="clear" w:color="auto" w:fill="auto"/>
            <w:noWrap/>
            <w:vAlign w:val="center"/>
            <w:hideMark/>
          </w:tcPr>
          <w:p w14:paraId="3A1710F7" w14:textId="031FE04E"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218,289</w:t>
            </w:r>
          </w:p>
        </w:tc>
        <w:tc>
          <w:tcPr>
            <w:tcW w:w="1660" w:type="dxa"/>
            <w:shd w:val="clear" w:color="auto" w:fill="auto"/>
            <w:noWrap/>
            <w:vAlign w:val="center"/>
            <w:hideMark/>
          </w:tcPr>
          <w:p w14:paraId="21F2AC39" w14:textId="336469C5"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5.3</w:t>
            </w:r>
          </w:p>
        </w:tc>
        <w:tc>
          <w:tcPr>
            <w:tcW w:w="1726" w:type="dxa"/>
            <w:shd w:val="clear" w:color="auto" w:fill="auto"/>
            <w:noWrap/>
            <w:vAlign w:val="center"/>
            <w:hideMark/>
          </w:tcPr>
          <w:p w14:paraId="75C5CE09" w14:textId="2DEDE79C" w:rsidR="00BF470E" w:rsidRPr="00E30BE9" w:rsidRDefault="00BF470E" w:rsidP="00937FCA">
            <w:pPr>
              <w:spacing w:after="0" w:line="240" w:lineRule="auto"/>
              <w:jc w:val="right"/>
              <w:rPr>
                <w:rFonts w:ascii="Calibri" w:eastAsia="Times New Roman" w:hAnsi="Calibri" w:cs="Calibri"/>
                <w:color w:val="000000"/>
              </w:rPr>
            </w:pPr>
            <w:r w:rsidRPr="00E30BE9">
              <w:rPr>
                <w:rFonts w:ascii="Calibri" w:eastAsia="Times New Roman" w:hAnsi="Calibri" w:cs="Calibri"/>
                <w:color w:val="000000"/>
              </w:rPr>
              <w:t>-68,983</w:t>
            </w:r>
          </w:p>
        </w:tc>
      </w:tr>
      <w:tr w:rsidR="00BF470E" w:rsidRPr="00E30BE9" w14:paraId="1A173C47" w14:textId="77777777" w:rsidTr="00937FCA">
        <w:trPr>
          <w:trHeight w:val="257"/>
        </w:trPr>
        <w:tc>
          <w:tcPr>
            <w:tcW w:w="985" w:type="dxa"/>
            <w:tcBorders>
              <w:bottom w:val="single" w:sz="4" w:space="0" w:color="auto"/>
            </w:tcBorders>
            <w:shd w:val="clear" w:color="auto" w:fill="auto"/>
            <w:noWrap/>
            <w:vAlign w:val="center"/>
            <w:hideMark/>
          </w:tcPr>
          <w:p w14:paraId="437D0BE0"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5</w:t>
            </w:r>
          </w:p>
        </w:tc>
        <w:tc>
          <w:tcPr>
            <w:tcW w:w="1112" w:type="dxa"/>
            <w:tcBorders>
              <w:bottom w:val="single" w:sz="4" w:space="0" w:color="auto"/>
            </w:tcBorders>
            <w:shd w:val="clear" w:color="auto" w:fill="auto"/>
            <w:noWrap/>
            <w:vAlign w:val="center"/>
            <w:hideMark/>
          </w:tcPr>
          <w:p w14:paraId="2F3D7C20" w14:textId="77777777" w:rsidR="00BF470E" w:rsidRPr="00E30BE9" w:rsidRDefault="00BF470E" w:rsidP="00937FCA">
            <w:pPr>
              <w:spacing w:after="0" w:line="240" w:lineRule="auto"/>
              <w:rPr>
                <w:rFonts w:ascii="Calibri" w:eastAsia="Times New Roman" w:hAnsi="Calibri" w:cs="Calibri"/>
                <w:color w:val="000000"/>
              </w:rPr>
            </w:pPr>
            <w:r w:rsidRPr="00E30BE9">
              <w:rPr>
                <w:rFonts w:ascii="Calibri" w:eastAsia="Times New Roman" w:hAnsi="Calibri" w:cs="Calibri"/>
                <w:color w:val="000000"/>
              </w:rPr>
              <w:t>Germany</w:t>
            </w:r>
          </w:p>
        </w:tc>
        <w:tc>
          <w:tcPr>
            <w:tcW w:w="1659" w:type="dxa"/>
            <w:tcBorders>
              <w:bottom w:val="single" w:sz="4" w:space="0" w:color="auto"/>
            </w:tcBorders>
            <w:shd w:val="clear" w:color="auto" w:fill="auto"/>
            <w:noWrap/>
            <w:vAlign w:val="center"/>
            <w:hideMark/>
          </w:tcPr>
          <w:p w14:paraId="64CF92BE" w14:textId="2113C035"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60,296</w:t>
            </w:r>
          </w:p>
        </w:tc>
        <w:tc>
          <w:tcPr>
            <w:tcW w:w="1870" w:type="dxa"/>
            <w:tcBorders>
              <w:bottom w:val="single" w:sz="4" w:space="0" w:color="auto"/>
            </w:tcBorders>
            <w:shd w:val="clear" w:color="auto" w:fill="auto"/>
            <w:noWrap/>
            <w:vAlign w:val="center"/>
            <w:hideMark/>
          </w:tcPr>
          <w:p w14:paraId="0A3D68EE" w14:textId="70F8D4E6"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127,462</w:t>
            </w:r>
          </w:p>
        </w:tc>
        <w:tc>
          <w:tcPr>
            <w:tcW w:w="1512" w:type="dxa"/>
            <w:tcBorders>
              <w:bottom w:val="single" w:sz="4" w:space="0" w:color="auto"/>
            </w:tcBorders>
            <w:shd w:val="clear" w:color="auto" w:fill="auto"/>
            <w:noWrap/>
            <w:vAlign w:val="center"/>
            <w:hideMark/>
          </w:tcPr>
          <w:p w14:paraId="70EF2722" w14:textId="78ECB3EC"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187,758</w:t>
            </w:r>
          </w:p>
        </w:tc>
        <w:tc>
          <w:tcPr>
            <w:tcW w:w="1660" w:type="dxa"/>
            <w:tcBorders>
              <w:bottom w:val="single" w:sz="4" w:space="0" w:color="auto"/>
            </w:tcBorders>
            <w:shd w:val="clear" w:color="auto" w:fill="auto"/>
            <w:noWrap/>
            <w:vAlign w:val="center"/>
            <w:hideMark/>
          </w:tcPr>
          <w:p w14:paraId="21BD37CB" w14:textId="2E3A6696" w:rsidR="00BF470E" w:rsidRPr="00E30BE9" w:rsidRDefault="00BF470E" w:rsidP="00937FCA">
            <w:pPr>
              <w:spacing w:after="0" w:line="240" w:lineRule="auto"/>
              <w:jc w:val="center"/>
              <w:rPr>
                <w:rFonts w:ascii="Calibri" w:eastAsia="Times New Roman" w:hAnsi="Calibri" w:cs="Calibri"/>
                <w:color w:val="000000"/>
              </w:rPr>
            </w:pPr>
            <w:r w:rsidRPr="00E30BE9">
              <w:rPr>
                <w:rFonts w:ascii="Calibri" w:eastAsia="Times New Roman" w:hAnsi="Calibri" w:cs="Calibri"/>
                <w:color w:val="000000"/>
              </w:rPr>
              <w:t>4.5</w:t>
            </w:r>
          </w:p>
        </w:tc>
        <w:tc>
          <w:tcPr>
            <w:tcW w:w="1726" w:type="dxa"/>
            <w:tcBorders>
              <w:bottom w:val="single" w:sz="4" w:space="0" w:color="auto"/>
            </w:tcBorders>
            <w:shd w:val="clear" w:color="auto" w:fill="auto"/>
            <w:noWrap/>
            <w:vAlign w:val="center"/>
            <w:hideMark/>
          </w:tcPr>
          <w:p w14:paraId="731224B6" w14:textId="1ADB12DB" w:rsidR="00BF470E" w:rsidRPr="00E30BE9" w:rsidRDefault="00BF470E" w:rsidP="00937FCA">
            <w:pPr>
              <w:spacing w:after="0" w:line="240" w:lineRule="auto"/>
              <w:jc w:val="right"/>
              <w:rPr>
                <w:rFonts w:ascii="Calibri" w:eastAsia="Times New Roman" w:hAnsi="Calibri" w:cs="Calibri"/>
                <w:color w:val="000000"/>
              </w:rPr>
            </w:pPr>
            <w:r w:rsidRPr="00E30BE9">
              <w:rPr>
                <w:rFonts w:ascii="Calibri" w:eastAsia="Times New Roman" w:hAnsi="Calibri" w:cs="Calibri"/>
                <w:color w:val="000000"/>
              </w:rPr>
              <w:t>-67,166</w:t>
            </w:r>
          </w:p>
        </w:tc>
      </w:tr>
      <w:tr w:rsidR="00BF470E" w:rsidRPr="00E30BE9" w14:paraId="50C0E2D7" w14:textId="77777777" w:rsidTr="00F25BA2">
        <w:trPr>
          <w:trHeight w:val="257"/>
        </w:trPr>
        <w:tc>
          <w:tcPr>
            <w:tcW w:w="10524" w:type="dxa"/>
            <w:gridSpan w:val="7"/>
            <w:tcBorders>
              <w:top w:val="single" w:sz="4" w:space="0" w:color="auto"/>
            </w:tcBorders>
            <w:shd w:val="clear" w:color="auto" w:fill="auto"/>
            <w:noWrap/>
            <w:vAlign w:val="bottom"/>
            <w:hideMark/>
          </w:tcPr>
          <w:p w14:paraId="08702179" w14:textId="77777777" w:rsidR="00BF470E" w:rsidRPr="00E30BE9" w:rsidRDefault="00BF470E" w:rsidP="00B06793">
            <w:pPr>
              <w:spacing w:after="0" w:line="240" w:lineRule="auto"/>
              <w:rPr>
                <w:rFonts w:ascii="Calibri" w:eastAsia="Times New Roman" w:hAnsi="Calibri" w:cs="Calibri"/>
                <w:color w:val="000000"/>
              </w:rPr>
            </w:pPr>
            <w:r w:rsidRPr="00E30BE9">
              <w:rPr>
                <w:rFonts w:ascii="Calibri" w:eastAsia="Times New Roman" w:hAnsi="Calibri" w:cs="Calibri"/>
                <w:color w:val="000000"/>
              </w:rPr>
              <w:t xml:space="preserve">Source: </w:t>
            </w:r>
            <w:r w:rsidRPr="007F52D7">
              <w:rPr>
                <w:rFonts w:cstheme="minorHAnsi"/>
              </w:rPr>
              <w:t>U.S. Department of Commerce</w:t>
            </w:r>
            <w:r>
              <w:rPr>
                <w:rFonts w:cstheme="minorHAnsi"/>
              </w:rPr>
              <w:t xml:space="preserve"> </w:t>
            </w:r>
          </w:p>
        </w:tc>
      </w:tr>
    </w:tbl>
    <w:p w14:paraId="12CB41AD" w14:textId="77777777" w:rsidR="00BF470E" w:rsidRDefault="00BF470E" w:rsidP="00BF470E">
      <w:pPr>
        <w:spacing w:line="480" w:lineRule="auto"/>
        <w:rPr>
          <w:szCs w:val="24"/>
        </w:rPr>
      </w:pPr>
    </w:p>
    <w:p w14:paraId="52FDF17D" w14:textId="701C3995" w:rsidR="00BF470E" w:rsidRDefault="00BF470E" w:rsidP="00C8065C">
      <w:pPr>
        <w:spacing w:line="480" w:lineRule="auto"/>
        <w:ind w:firstLine="720"/>
        <w:rPr>
          <w:szCs w:val="24"/>
        </w:rPr>
      </w:pPr>
      <w:r w:rsidRPr="00892CBF">
        <w:rPr>
          <w:szCs w:val="24"/>
        </w:rPr>
        <w:t>Nevertheless, Mexico still maintains a very large trade balance with the United States when compared to Canada</w:t>
      </w:r>
      <w:r w:rsidR="0057146A">
        <w:rPr>
          <w:szCs w:val="24"/>
        </w:rPr>
        <w:t>,</w:t>
      </w:r>
      <w:r>
        <w:rPr>
          <w:szCs w:val="24"/>
        </w:rPr>
        <w:t xml:space="preserve"> having a smaller balance </w:t>
      </w:r>
      <w:r w:rsidR="00A64467">
        <w:rPr>
          <w:szCs w:val="24"/>
        </w:rPr>
        <w:t>than</w:t>
      </w:r>
      <w:r>
        <w:rPr>
          <w:szCs w:val="24"/>
        </w:rPr>
        <w:t xml:space="preserve"> Mexico by $74,388 million. Also notable are American exports to Mexico being larger than China by $149,747 million.</w:t>
      </w:r>
      <w:r w:rsidRPr="00892CBF">
        <w:rPr>
          <w:szCs w:val="24"/>
        </w:rPr>
        <w:t xml:space="preserve"> </w:t>
      </w:r>
      <w:r w:rsidR="0057146A">
        <w:rPr>
          <w:szCs w:val="24"/>
        </w:rPr>
        <w:t>It can be a</w:t>
      </w:r>
      <w:r w:rsidR="00B9655F">
        <w:rPr>
          <w:szCs w:val="24"/>
        </w:rPr>
        <w:t>rgued</w:t>
      </w:r>
      <w:r w:rsidR="0057146A">
        <w:rPr>
          <w:szCs w:val="24"/>
        </w:rPr>
        <w:t xml:space="preserve"> that the United States has maintained a more positive sentiment towards Mexico when </w:t>
      </w:r>
      <w:r w:rsidR="0057146A">
        <w:rPr>
          <w:szCs w:val="24"/>
        </w:rPr>
        <w:lastRenderedPageBreak/>
        <w:t xml:space="preserve">considering the </w:t>
      </w:r>
      <w:r w:rsidR="000E35FC">
        <w:rPr>
          <w:szCs w:val="24"/>
        </w:rPr>
        <w:t xml:space="preserve">nature of the </w:t>
      </w:r>
      <w:r w:rsidR="00C8065C">
        <w:rPr>
          <w:szCs w:val="24"/>
        </w:rPr>
        <w:t>ex</w:t>
      </w:r>
      <w:r w:rsidR="0057146A">
        <w:rPr>
          <w:szCs w:val="24"/>
        </w:rPr>
        <w:t xml:space="preserve">port balances. </w:t>
      </w:r>
      <w:r>
        <w:rPr>
          <w:szCs w:val="24"/>
        </w:rPr>
        <w:t xml:space="preserve">As </w:t>
      </w:r>
      <w:r w:rsidR="00897577">
        <w:rPr>
          <w:szCs w:val="24"/>
        </w:rPr>
        <w:t>mentioned previously</w:t>
      </w:r>
      <w:r>
        <w:rPr>
          <w:szCs w:val="24"/>
        </w:rPr>
        <w:t xml:space="preserve"> by Scott (2011</w:t>
      </w:r>
      <w:r w:rsidRPr="008835DF">
        <w:rPr>
          <w:szCs w:val="24"/>
        </w:rPr>
        <w:t>), a United States trade deficit hurts American workers</w:t>
      </w:r>
      <w:r w:rsidRPr="0057735B">
        <w:rPr>
          <w:b/>
          <w:bCs/>
          <w:szCs w:val="24"/>
        </w:rPr>
        <w:t>.</w:t>
      </w:r>
      <w:r>
        <w:rPr>
          <w:szCs w:val="24"/>
        </w:rPr>
        <w:t xml:space="preserve"> </w:t>
      </w:r>
    </w:p>
    <w:p w14:paraId="7566E511" w14:textId="48367EA5" w:rsidR="004966EF" w:rsidRDefault="004966EF" w:rsidP="00C8065C">
      <w:pPr>
        <w:spacing w:line="480" w:lineRule="auto"/>
        <w:ind w:firstLine="720"/>
        <w:rPr>
          <w:szCs w:val="24"/>
        </w:rPr>
      </w:pPr>
      <w:r>
        <w:rPr>
          <w:szCs w:val="24"/>
        </w:rPr>
        <w:t>Adding to the findings, Table 2</w:t>
      </w:r>
      <w:r w:rsidR="00087C3C">
        <w:rPr>
          <w:szCs w:val="24"/>
        </w:rPr>
        <w:t xml:space="preserve"> </w:t>
      </w:r>
      <w:r>
        <w:rPr>
          <w:szCs w:val="24"/>
        </w:rPr>
        <w:t>is used to display the change in real GDP in constant national prices measured in 2017 U</w:t>
      </w:r>
      <w:r w:rsidR="002D64B6">
        <w:rPr>
          <w:szCs w:val="24"/>
        </w:rPr>
        <w:t>.</w:t>
      </w:r>
      <w:r>
        <w:rPr>
          <w:szCs w:val="24"/>
        </w:rPr>
        <w:t>S</w:t>
      </w:r>
      <w:r w:rsidR="002D64B6">
        <w:rPr>
          <w:szCs w:val="24"/>
        </w:rPr>
        <w:t>.</w:t>
      </w:r>
      <w:r>
        <w:rPr>
          <w:szCs w:val="24"/>
        </w:rPr>
        <w:t xml:space="preserve"> dollars.</w:t>
      </w:r>
      <w:r w:rsidR="007D5A11">
        <w:rPr>
          <w:szCs w:val="24"/>
        </w:rPr>
        <w:t xml:space="preserve"> Of note is the year 1995 where Mexico’s real GDP fell</w:t>
      </w:r>
      <w:r w:rsidR="0050743C">
        <w:rPr>
          <w:szCs w:val="24"/>
        </w:rPr>
        <w:t xml:space="preserve"> by</w:t>
      </w:r>
      <w:r w:rsidR="007D5A11">
        <w:rPr>
          <w:szCs w:val="24"/>
        </w:rPr>
        <w:t xml:space="preserve"> 6.29% when compared to the year 1994</w:t>
      </w:r>
      <w:r w:rsidR="00B9655F">
        <w:rPr>
          <w:szCs w:val="24"/>
        </w:rPr>
        <w:t>,</w:t>
      </w:r>
      <w:r w:rsidR="007D5A11">
        <w:rPr>
          <w:szCs w:val="24"/>
        </w:rPr>
        <w:t xml:space="preserve"> primarily due to the Peso Crisis mentioned </w:t>
      </w:r>
      <w:r w:rsidR="00B9655F">
        <w:rPr>
          <w:szCs w:val="24"/>
        </w:rPr>
        <w:t>previously</w:t>
      </w:r>
      <w:r w:rsidR="007D5A11">
        <w:rPr>
          <w:szCs w:val="24"/>
        </w:rPr>
        <w:t xml:space="preserve">. </w:t>
      </w:r>
    </w:p>
    <w:tbl>
      <w:tblPr>
        <w:tblW w:w="8981" w:type="dxa"/>
        <w:tblLook w:val="04A0" w:firstRow="1" w:lastRow="0" w:firstColumn="1" w:lastColumn="0" w:noHBand="0" w:noVBand="1"/>
      </w:tblPr>
      <w:tblGrid>
        <w:gridCol w:w="940"/>
        <w:gridCol w:w="1720"/>
        <w:gridCol w:w="2298"/>
        <w:gridCol w:w="1797"/>
        <w:gridCol w:w="2226"/>
      </w:tblGrid>
      <w:tr w:rsidR="00F222BF" w:rsidRPr="00F222BF" w14:paraId="5AC8A7AC" w14:textId="77777777" w:rsidTr="00F25BA2">
        <w:trPr>
          <w:trHeight w:val="300"/>
        </w:trPr>
        <w:tc>
          <w:tcPr>
            <w:tcW w:w="940" w:type="dxa"/>
            <w:tcBorders>
              <w:bottom w:val="single" w:sz="4" w:space="0" w:color="auto"/>
            </w:tcBorders>
            <w:shd w:val="clear" w:color="auto" w:fill="auto"/>
            <w:noWrap/>
            <w:vAlign w:val="center"/>
            <w:hideMark/>
          </w:tcPr>
          <w:p w14:paraId="0293AC4A" w14:textId="5191C6FA"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 xml:space="preserve">Table </w:t>
            </w:r>
            <w:r w:rsidR="00BF470E" w:rsidRPr="00570E30">
              <w:rPr>
                <w:rFonts w:ascii="Calibri" w:eastAsia="Times New Roman" w:hAnsi="Calibri" w:cs="Calibri"/>
                <w:color w:val="000000"/>
                <w:sz w:val="22"/>
              </w:rPr>
              <w:t>2</w:t>
            </w:r>
          </w:p>
        </w:tc>
        <w:tc>
          <w:tcPr>
            <w:tcW w:w="8041" w:type="dxa"/>
            <w:gridSpan w:val="4"/>
            <w:tcBorders>
              <w:bottom w:val="single" w:sz="4" w:space="0" w:color="auto"/>
            </w:tcBorders>
            <w:shd w:val="clear" w:color="auto" w:fill="auto"/>
            <w:noWrap/>
            <w:vAlign w:val="center"/>
            <w:hideMark/>
          </w:tcPr>
          <w:p w14:paraId="7645472E" w14:textId="77777777" w:rsidR="00F222BF" w:rsidRPr="00F222BF" w:rsidRDefault="00F222BF" w:rsidP="00F222BF">
            <w:pPr>
              <w:spacing w:after="0" w:line="240" w:lineRule="auto"/>
              <w:jc w:val="center"/>
              <w:rPr>
                <w:rFonts w:ascii="Calibri" w:eastAsia="Times New Roman" w:hAnsi="Calibri" w:cs="Calibri"/>
                <w:b/>
                <w:bCs/>
                <w:color w:val="000000"/>
                <w:sz w:val="22"/>
              </w:rPr>
            </w:pPr>
            <w:r w:rsidRPr="00F222BF">
              <w:rPr>
                <w:rFonts w:ascii="Calibri" w:eastAsia="Times New Roman" w:hAnsi="Calibri" w:cs="Calibri"/>
                <w:b/>
                <w:bCs/>
                <w:color w:val="000000"/>
                <w:sz w:val="22"/>
              </w:rPr>
              <w:t>Real GDP at Constant National Prices Mexico, United States</w:t>
            </w:r>
          </w:p>
        </w:tc>
      </w:tr>
      <w:tr w:rsidR="00F222BF" w:rsidRPr="00F222BF" w14:paraId="64A40175" w14:textId="77777777" w:rsidTr="00F25BA2">
        <w:trPr>
          <w:trHeight w:val="675"/>
        </w:trPr>
        <w:tc>
          <w:tcPr>
            <w:tcW w:w="940" w:type="dxa"/>
            <w:tcBorders>
              <w:top w:val="single" w:sz="4" w:space="0" w:color="auto"/>
              <w:bottom w:val="single" w:sz="4" w:space="0" w:color="auto"/>
            </w:tcBorders>
            <w:shd w:val="clear" w:color="auto" w:fill="auto"/>
            <w:noWrap/>
            <w:vAlign w:val="center"/>
            <w:hideMark/>
          </w:tcPr>
          <w:p w14:paraId="5ED55AE8"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Year</w:t>
            </w:r>
          </w:p>
        </w:tc>
        <w:tc>
          <w:tcPr>
            <w:tcW w:w="1720" w:type="dxa"/>
            <w:tcBorders>
              <w:top w:val="single" w:sz="4" w:space="0" w:color="auto"/>
              <w:bottom w:val="single" w:sz="4" w:space="0" w:color="auto"/>
            </w:tcBorders>
            <w:shd w:val="clear" w:color="auto" w:fill="auto"/>
            <w:vAlign w:val="center"/>
            <w:hideMark/>
          </w:tcPr>
          <w:p w14:paraId="3A0D65ED" w14:textId="74113611"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Mexico GDP (Million USD)</w:t>
            </w:r>
          </w:p>
        </w:tc>
        <w:tc>
          <w:tcPr>
            <w:tcW w:w="2298" w:type="dxa"/>
            <w:tcBorders>
              <w:top w:val="single" w:sz="4" w:space="0" w:color="auto"/>
              <w:bottom w:val="single" w:sz="4" w:space="0" w:color="auto"/>
            </w:tcBorders>
            <w:shd w:val="clear" w:color="auto" w:fill="auto"/>
            <w:noWrap/>
            <w:vAlign w:val="center"/>
            <w:hideMark/>
          </w:tcPr>
          <w:p w14:paraId="2F0C014D" w14:textId="3BCA5CAA"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MX GDP YOY Growth</w:t>
            </w:r>
            <w:r w:rsidR="00F25BA2">
              <w:rPr>
                <w:rFonts w:ascii="Calibri" w:eastAsia="Times New Roman" w:hAnsi="Calibri" w:cs="Calibri"/>
                <w:color w:val="000000"/>
                <w:sz w:val="22"/>
              </w:rPr>
              <w:t xml:space="preserve"> (%)</w:t>
            </w:r>
          </w:p>
        </w:tc>
        <w:tc>
          <w:tcPr>
            <w:tcW w:w="1797" w:type="dxa"/>
            <w:tcBorders>
              <w:top w:val="single" w:sz="4" w:space="0" w:color="auto"/>
              <w:bottom w:val="single" w:sz="4" w:space="0" w:color="auto"/>
            </w:tcBorders>
            <w:shd w:val="clear" w:color="auto" w:fill="auto"/>
            <w:vAlign w:val="center"/>
            <w:hideMark/>
          </w:tcPr>
          <w:p w14:paraId="7A9AB665" w14:textId="2603C6FB"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 xml:space="preserve">US GDP   </w:t>
            </w:r>
            <w:r w:rsidR="009A569B" w:rsidRPr="00F222BF">
              <w:rPr>
                <w:rFonts w:ascii="Calibri" w:eastAsia="Times New Roman" w:hAnsi="Calibri" w:cs="Calibri"/>
                <w:color w:val="000000"/>
                <w:sz w:val="22"/>
              </w:rPr>
              <w:t xml:space="preserve">  (</w:t>
            </w:r>
            <w:r w:rsidRPr="00F222BF">
              <w:rPr>
                <w:rFonts w:ascii="Calibri" w:eastAsia="Times New Roman" w:hAnsi="Calibri" w:cs="Calibri"/>
                <w:color w:val="000000"/>
                <w:sz w:val="22"/>
              </w:rPr>
              <w:t>Million USD)</w:t>
            </w:r>
          </w:p>
        </w:tc>
        <w:tc>
          <w:tcPr>
            <w:tcW w:w="2226" w:type="dxa"/>
            <w:tcBorders>
              <w:top w:val="single" w:sz="4" w:space="0" w:color="auto"/>
              <w:bottom w:val="single" w:sz="4" w:space="0" w:color="auto"/>
            </w:tcBorders>
            <w:shd w:val="clear" w:color="auto" w:fill="auto"/>
            <w:noWrap/>
            <w:vAlign w:val="center"/>
            <w:hideMark/>
          </w:tcPr>
          <w:p w14:paraId="1C542F37" w14:textId="6B7796A3"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US GDP YOY Growth</w:t>
            </w:r>
            <w:r w:rsidR="00F25BA2">
              <w:rPr>
                <w:rFonts w:ascii="Calibri" w:eastAsia="Times New Roman" w:hAnsi="Calibri" w:cs="Calibri"/>
                <w:color w:val="000000"/>
                <w:sz w:val="22"/>
              </w:rPr>
              <w:t xml:space="preserve"> (%)</w:t>
            </w:r>
          </w:p>
        </w:tc>
      </w:tr>
      <w:tr w:rsidR="00F222BF" w:rsidRPr="00F222BF" w14:paraId="53727DED" w14:textId="77777777" w:rsidTr="00F25BA2">
        <w:trPr>
          <w:trHeight w:val="300"/>
        </w:trPr>
        <w:tc>
          <w:tcPr>
            <w:tcW w:w="940" w:type="dxa"/>
            <w:tcBorders>
              <w:top w:val="single" w:sz="4" w:space="0" w:color="auto"/>
            </w:tcBorders>
            <w:shd w:val="clear" w:color="auto" w:fill="auto"/>
            <w:noWrap/>
            <w:vAlign w:val="center"/>
            <w:hideMark/>
          </w:tcPr>
          <w:p w14:paraId="02D8D35A"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1990</w:t>
            </w:r>
          </w:p>
        </w:tc>
        <w:tc>
          <w:tcPr>
            <w:tcW w:w="1720" w:type="dxa"/>
            <w:tcBorders>
              <w:top w:val="single" w:sz="4" w:space="0" w:color="auto"/>
            </w:tcBorders>
            <w:shd w:val="clear" w:color="auto" w:fill="auto"/>
            <w:noWrap/>
            <w:vAlign w:val="center"/>
            <w:hideMark/>
          </w:tcPr>
          <w:p w14:paraId="5330E21C" w14:textId="7B2A7873"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1,182,593</w:t>
            </w:r>
          </w:p>
        </w:tc>
        <w:tc>
          <w:tcPr>
            <w:tcW w:w="2298" w:type="dxa"/>
            <w:tcBorders>
              <w:top w:val="single" w:sz="4" w:space="0" w:color="auto"/>
            </w:tcBorders>
            <w:shd w:val="clear" w:color="auto" w:fill="auto"/>
            <w:noWrap/>
            <w:vAlign w:val="center"/>
            <w:hideMark/>
          </w:tcPr>
          <w:p w14:paraId="155F31C8" w14:textId="77777777"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w:t>
            </w:r>
          </w:p>
        </w:tc>
        <w:tc>
          <w:tcPr>
            <w:tcW w:w="1797" w:type="dxa"/>
            <w:tcBorders>
              <w:top w:val="single" w:sz="4" w:space="0" w:color="auto"/>
            </w:tcBorders>
            <w:shd w:val="clear" w:color="auto" w:fill="auto"/>
            <w:noWrap/>
            <w:vAlign w:val="center"/>
            <w:hideMark/>
          </w:tcPr>
          <w:p w14:paraId="00057577" w14:textId="39DED46C"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10,087,555</w:t>
            </w:r>
          </w:p>
        </w:tc>
        <w:tc>
          <w:tcPr>
            <w:tcW w:w="2226" w:type="dxa"/>
            <w:tcBorders>
              <w:top w:val="single" w:sz="4" w:space="0" w:color="auto"/>
            </w:tcBorders>
            <w:shd w:val="clear" w:color="auto" w:fill="auto"/>
            <w:noWrap/>
            <w:vAlign w:val="center"/>
            <w:hideMark/>
          </w:tcPr>
          <w:p w14:paraId="6C78055C" w14:textId="77777777"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w:t>
            </w:r>
          </w:p>
        </w:tc>
      </w:tr>
      <w:tr w:rsidR="00F222BF" w:rsidRPr="00F222BF" w14:paraId="294DAD5B" w14:textId="77777777" w:rsidTr="00F25BA2">
        <w:trPr>
          <w:trHeight w:val="300"/>
        </w:trPr>
        <w:tc>
          <w:tcPr>
            <w:tcW w:w="940" w:type="dxa"/>
            <w:shd w:val="clear" w:color="auto" w:fill="auto"/>
            <w:noWrap/>
            <w:vAlign w:val="center"/>
            <w:hideMark/>
          </w:tcPr>
          <w:p w14:paraId="6A55DD43"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1991</w:t>
            </w:r>
          </w:p>
        </w:tc>
        <w:tc>
          <w:tcPr>
            <w:tcW w:w="1720" w:type="dxa"/>
            <w:shd w:val="clear" w:color="auto" w:fill="auto"/>
            <w:noWrap/>
            <w:vAlign w:val="center"/>
            <w:hideMark/>
          </w:tcPr>
          <w:p w14:paraId="7B165051" w14:textId="275BC333"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1,232,525</w:t>
            </w:r>
          </w:p>
        </w:tc>
        <w:tc>
          <w:tcPr>
            <w:tcW w:w="2298" w:type="dxa"/>
            <w:shd w:val="clear" w:color="auto" w:fill="auto"/>
            <w:noWrap/>
            <w:vAlign w:val="center"/>
            <w:hideMark/>
          </w:tcPr>
          <w:p w14:paraId="221432BB" w14:textId="2E85DF2E"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4.22</w:t>
            </w:r>
          </w:p>
        </w:tc>
        <w:tc>
          <w:tcPr>
            <w:tcW w:w="1797" w:type="dxa"/>
            <w:shd w:val="clear" w:color="auto" w:fill="auto"/>
            <w:noWrap/>
            <w:vAlign w:val="center"/>
            <w:hideMark/>
          </w:tcPr>
          <w:p w14:paraId="7BEAFAC9" w14:textId="34881325"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10,076,635</w:t>
            </w:r>
          </w:p>
        </w:tc>
        <w:tc>
          <w:tcPr>
            <w:tcW w:w="2226" w:type="dxa"/>
            <w:shd w:val="clear" w:color="auto" w:fill="auto"/>
            <w:noWrap/>
            <w:vAlign w:val="center"/>
            <w:hideMark/>
          </w:tcPr>
          <w:p w14:paraId="00A3DC79" w14:textId="01903D3E"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-0.11</w:t>
            </w:r>
          </w:p>
        </w:tc>
      </w:tr>
      <w:tr w:rsidR="00F222BF" w:rsidRPr="00F222BF" w14:paraId="3CD4E0E3" w14:textId="77777777" w:rsidTr="00F25BA2">
        <w:trPr>
          <w:trHeight w:val="300"/>
        </w:trPr>
        <w:tc>
          <w:tcPr>
            <w:tcW w:w="940" w:type="dxa"/>
            <w:shd w:val="clear" w:color="auto" w:fill="auto"/>
            <w:noWrap/>
            <w:vAlign w:val="center"/>
            <w:hideMark/>
          </w:tcPr>
          <w:p w14:paraId="240033A9"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1992</w:t>
            </w:r>
          </w:p>
        </w:tc>
        <w:tc>
          <w:tcPr>
            <w:tcW w:w="1720" w:type="dxa"/>
            <w:shd w:val="clear" w:color="auto" w:fill="auto"/>
            <w:noWrap/>
            <w:vAlign w:val="center"/>
            <w:hideMark/>
          </w:tcPr>
          <w:p w14:paraId="36CA90D5" w14:textId="065C32E7"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1,277,249</w:t>
            </w:r>
          </w:p>
        </w:tc>
        <w:tc>
          <w:tcPr>
            <w:tcW w:w="2298" w:type="dxa"/>
            <w:shd w:val="clear" w:color="auto" w:fill="auto"/>
            <w:noWrap/>
            <w:vAlign w:val="center"/>
            <w:hideMark/>
          </w:tcPr>
          <w:p w14:paraId="14230094" w14:textId="60CFA4DA"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3.63</w:t>
            </w:r>
          </w:p>
        </w:tc>
        <w:tc>
          <w:tcPr>
            <w:tcW w:w="1797" w:type="dxa"/>
            <w:shd w:val="clear" w:color="auto" w:fill="auto"/>
            <w:noWrap/>
            <w:vAlign w:val="center"/>
            <w:hideMark/>
          </w:tcPr>
          <w:p w14:paraId="1DD9EA9C" w14:textId="63533919"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10,431,579</w:t>
            </w:r>
          </w:p>
        </w:tc>
        <w:tc>
          <w:tcPr>
            <w:tcW w:w="2226" w:type="dxa"/>
            <w:shd w:val="clear" w:color="auto" w:fill="auto"/>
            <w:noWrap/>
            <w:vAlign w:val="center"/>
            <w:hideMark/>
          </w:tcPr>
          <w:p w14:paraId="4C0A2907" w14:textId="158A250E"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3.52</w:t>
            </w:r>
          </w:p>
        </w:tc>
      </w:tr>
      <w:tr w:rsidR="00F222BF" w:rsidRPr="00F222BF" w14:paraId="2E4E5B0A" w14:textId="77777777" w:rsidTr="00F25BA2">
        <w:trPr>
          <w:trHeight w:val="300"/>
        </w:trPr>
        <w:tc>
          <w:tcPr>
            <w:tcW w:w="940" w:type="dxa"/>
            <w:shd w:val="clear" w:color="auto" w:fill="auto"/>
            <w:noWrap/>
            <w:vAlign w:val="center"/>
            <w:hideMark/>
          </w:tcPr>
          <w:p w14:paraId="4DC43B28"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1993</w:t>
            </w:r>
          </w:p>
        </w:tc>
        <w:tc>
          <w:tcPr>
            <w:tcW w:w="1720" w:type="dxa"/>
            <w:shd w:val="clear" w:color="auto" w:fill="auto"/>
            <w:noWrap/>
            <w:vAlign w:val="center"/>
            <w:hideMark/>
          </w:tcPr>
          <w:p w14:paraId="7C1E4D70" w14:textId="1A198450"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1,322,641</w:t>
            </w:r>
          </w:p>
        </w:tc>
        <w:tc>
          <w:tcPr>
            <w:tcW w:w="2298" w:type="dxa"/>
            <w:shd w:val="clear" w:color="auto" w:fill="auto"/>
            <w:noWrap/>
            <w:vAlign w:val="center"/>
            <w:hideMark/>
          </w:tcPr>
          <w:p w14:paraId="318DAEB6" w14:textId="18F4216E"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3.55</w:t>
            </w:r>
          </w:p>
        </w:tc>
        <w:tc>
          <w:tcPr>
            <w:tcW w:w="1797" w:type="dxa"/>
            <w:shd w:val="clear" w:color="auto" w:fill="auto"/>
            <w:noWrap/>
            <w:vAlign w:val="center"/>
            <w:hideMark/>
          </w:tcPr>
          <w:p w14:paraId="23743AAF" w14:textId="0AC258F0"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10,718,744</w:t>
            </w:r>
          </w:p>
        </w:tc>
        <w:tc>
          <w:tcPr>
            <w:tcW w:w="2226" w:type="dxa"/>
            <w:shd w:val="clear" w:color="auto" w:fill="auto"/>
            <w:noWrap/>
            <w:vAlign w:val="center"/>
            <w:hideMark/>
          </w:tcPr>
          <w:p w14:paraId="3CFC18C0" w14:textId="6FBC4008"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2.75</w:t>
            </w:r>
          </w:p>
        </w:tc>
      </w:tr>
      <w:tr w:rsidR="00F222BF" w:rsidRPr="00F222BF" w14:paraId="4BD1CD19" w14:textId="77777777" w:rsidTr="00F25BA2">
        <w:trPr>
          <w:trHeight w:val="300"/>
        </w:trPr>
        <w:tc>
          <w:tcPr>
            <w:tcW w:w="940" w:type="dxa"/>
            <w:shd w:val="clear" w:color="auto" w:fill="auto"/>
            <w:noWrap/>
            <w:vAlign w:val="center"/>
            <w:hideMark/>
          </w:tcPr>
          <w:p w14:paraId="0F074795"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1994</w:t>
            </w:r>
          </w:p>
        </w:tc>
        <w:tc>
          <w:tcPr>
            <w:tcW w:w="1720" w:type="dxa"/>
            <w:shd w:val="clear" w:color="auto" w:fill="auto"/>
            <w:noWrap/>
            <w:vAlign w:val="center"/>
            <w:hideMark/>
          </w:tcPr>
          <w:p w14:paraId="2551D468" w14:textId="5FF5B3F9"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1,387,994</w:t>
            </w:r>
          </w:p>
        </w:tc>
        <w:tc>
          <w:tcPr>
            <w:tcW w:w="2298" w:type="dxa"/>
            <w:shd w:val="clear" w:color="auto" w:fill="auto"/>
            <w:noWrap/>
            <w:vAlign w:val="center"/>
            <w:hideMark/>
          </w:tcPr>
          <w:p w14:paraId="4F4E52E0" w14:textId="68B33174"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4.94</w:t>
            </w:r>
          </w:p>
        </w:tc>
        <w:tc>
          <w:tcPr>
            <w:tcW w:w="1797" w:type="dxa"/>
            <w:shd w:val="clear" w:color="auto" w:fill="auto"/>
            <w:noWrap/>
            <w:vAlign w:val="center"/>
            <w:hideMark/>
          </w:tcPr>
          <w:p w14:paraId="0ACE44F4" w14:textId="5CDAB565"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11,150,584</w:t>
            </w:r>
          </w:p>
        </w:tc>
        <w:tc>
          <w:tcPr>
            <w:tcW w:w="2226" w:type="dxa"/>
            <w:shd w:val="clear" w:color="auto" w:fill="auto"/>
            <w:noWrap/>
            <w:vAlign w:val="center"/>
            <w:hideMark/>
          </w:tcPr>
          <w:p w14:paraId="2637F57F" w14:textId="23F17638"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4.03</w:t>
            </w:r>
          </w:p>
        </w:tc>
      </w:tr>
      <w:tr w:rsidR="00F222BF" w:rsidRPr="00F222BF" w14:paraId="5BF4258F" w14:textId="77777777" w:rsidTr="00F25BA2">
        <w:trPr>
          <w:trHeight w:val="300"/>
        </w:trPr>
        <w:tc>
          <w:tcPr>
            <w:tcW w:w="940" w:type="dxa"/>
            <w:shd w:val="clear" w:color="auto" w:fill="auto"/>
            <w:noWrap/>
            <w:vAlign w:val="center"/>
            <w:hideMark/>
          </w:tcPr>
          <w:p w14:paraId="4AB60841" w14:textId="77777777" w:rsidR="00F222BF" w:rsidRPr="00F222BF" w:rsidRDefault="00F222BF" w:rsidP="00F222BF">
            <w:pPr>
              <w:spacing w:after="0" w:line="240" w:lineRule="auto"/>
              <w:rPr>
                <w:rFonts w:ascii="Calibri" w:eastAsia="Times New Roman" w:hAnsi="Calibri" w:cs="Calibri"/>
                <w:sz w:val="22"/>
              </w:rPr>
            </w:pPr>
            <w:r w:rsidRPr="00F222BF">
              <w:rPr>
                <w:rFonts w:ascii="Calibri" w:eastAsia="Times New Roman" w:hAnsi="Calibri" w:cs="Calibri"/>
                <w:sz w:val="22"/>
              </w:rPr>
              <w:t>1995</w:t>
            </w:r>
          </w:p>
        </w:tc>
        <w:tc>
          <w:tcPr>
            <w:tcW w:w="1720" w:type="dxa"/>
            <w:shd w:val="clear" w:color="auto" w:fill="auto"/>
            <w:noWrap/>
            <w:vAlign w:val="center"/>
            <w:hideMark/>
          </w:tcPr>
          <w:p w14:paraId="44678D17" w14:textId="70063929" w:rsidR="00F222BF" w:rsidRPr="00F222BF" w:rsidRDefault="00F222BF" w:rsidP="00F222BF">
            <w:pPr>
              <w:spacing w:after="0" w:line="240" w:lineRule="auto"/>
              <w:jc w:val="center"/>
              <w:rPr>
                <w:rFonts w:ascii="Calibri" w:eastAsia="Times New Roman" w:hAnsi="Calibri" w:cs="Calibri"/>
                <w:sz w:val="22"/>
              </w:rPr>
            </w:pPr>
            <w:r w:rsidRPr="00F222BF">
              <w:rPr>
                <w:rFonts w:ascii="Calibri" w:eastAsia="Times New Roman" w:hAnsi="Calibri" w:cs="Calibri"/>
                <w:sz w:val="22"/>
              </w:rPr>
              <w:t>1,300,672</w:t>
            </w:r>
          </w:p>
        </w:tc>
        <w:tc>
          <w:tcPr>
            <w:tcW w:w="2298" w:type="dxa"/>
            <w:shd w:val="clear" w:color="auto" w:fill="auto"/>
            <w:noWrap/>
            <w:vAlign w:val="center"/>
            <w:hideMark/>
          </w:tcPr>
          <w:p w14:paraId="539C7F46" w14:textId="76C1DB6C" w:rsidR="00F222BF" w:rsidRPr="00F222BF" w:rsidRDefault="00F222BF" w:rsidP="00F222BF">
            <w:pPr>
              <w:spacing w:after="0" w:line="240" w:lineRule="auto"/>
              <w:jc w:val="center"/>
              <w:rPr>
                <w:rFonts w:ascii="Calibri" w:eastAsia="Times New Roman" w:hAnsi="Calibri" w:cs="Calibri"/>
                <w:sz w:val="22"/>
              </w:rPr>
            </w:pPr>
            <w:r w:rsidRPr="00F222BF">
              <w:rPr>
                <w:rFonts w:ascii="Calibri" w:eastAsia="Times New Roman" w:hAnsi="Calibri" w:cs="Calibri"/>
                <w:sz w:val="22"/>
              </w:rPr>
              <w:t>-6.29</w:t>
            </w:r>
          </w:p>
        </w:tc>
        <w:tc>
          <w:tcPr>
            <w:tcW w:w="1797" w:type="dxa"/>
            <w:shd w:val="clear" w:color="auto" w:fill="auto"/>
            <w:noWrap/>
            <w:vAlign w:val="center"/>
            <w:hideMark/>
          </w:tcPr>
          <w:p w14:paraId="35CB8B0E" w14:textId="4D6DC519"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11,449,898</w:t>
            </w:r>
          </w:p>
        </w:tc>
        <w:tc>
          <w:tcPr>
            <w:tcW w:w="2226" w:type="dxa"/>
            <w:shd w:val="clear" w:color="auto" w:fill="auto"/>
            <w:noWrap/>
            <w:vAlign w:val="center"/>
            <w:hideMark/>
          </w:tcPr>
          <w:p w14:paraId="5CA25DC5" w14:textId="01511598"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2.68</w:t>
            </w:r>
          </w:p>
        </w:tc>
      </w:tr>
      <w:tr w:rsidR="00F222BF" w:rsidRPr="00F222BF" w14:paraId="2072F489" w14:textId="77777777" w:rsidTr="00F25BA2">
        <w:trPr>
          <w:trHeight w:val="300"/>
        </w:trPr>
        <w:tc>
          <w:tcPr>
            <w:tcW w:w="940" w:type="dxa"/>
            <w:shd w:val="clear" w:color="auto" w:fill="auto"/>
            <w:noWrap/>
            <w:vAlign w:val="center"/>
            <w:hideMark/>
          </w:tcPr>
          <w:p w14:paraId="4051B45E"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1996</w:t>
            </w:r>
          </w:p>
        </w:tc>
        <w:tc>
          <w:tcPr>
            <w:tcW w:w="1720" w:type="dxa"/>
            <w:shd w:val="clear" w:color="auto" w:fill="auto"/>
            <w:noWrap/>
            <w:vAlign w:val="center"/>
            <w:hideMark/>
          </w:tcPr>
          <w:p w14:paraId="198156B0" w14:textId="39CBD4B4"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1,388,770</w:t>
            </w:r>
          </w:p>
        </w:tc>
        <w:tc>
          <w:tcPr>
            <w:tcW w:w="2298" w:type="dxa"/>
            <w:shd w:val="clear" w:color="auto" w:fill="auto"/>
            <w:noWrap/>
            <w:vAlign w:val="center"/>
            <w:hideMark/>
          </w:tcPr>
          <w:p w14:paraId="11E75DEE" w14:textId="060BA989"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6.77</w:t>
            </w:r>
          </w:p>
        </w:tc>
        <w:tc>
          <w:tcPr>
            <w:tcW w:w="1797" w:type="dxa"/>
            <w:shd w:val="clear" w:color="auto" w:fill="auto"/>
            <w:noWrap/>
            <w:vAlign w:val="center"/>
            <w:hideMark/>
          </w:tcPr>
          <w:p w14:paraId="740B2B94" w14:textId="072F2F05"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11,881,846</w:t>
            </w:r>
          </w:p>
        </w:tc>
        <w:tc>
          <w:tcPr>
            <w:tcW w:w="2226" w:type="dxa"/>
            <w:shd w:val="clear" w:color="auto" w:fill="auto"/>
            <w:noWrap/>
            <w:vAlign w:val="center"/>
            <w:hideMark/>
          </w:tcPr>
          <w:p w14:paraId="6B93CED7" w14:textId="1EB61421"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3.77</w:t>
            </w:r>
          </w:p>
        </w:tc>
      </w:tr>
      <w:tr w:rsidR="00F222BF" w:rsidRPr="00F222BF" w14:paraId="20D74C24" w14:textId="77777777" w:rsidTr="00F25BA2">
        <w:trPr>
          <w:trHeight w:val="300"/>
        </w:trPr>
        <w:tc>
          <w:tcPr>
            <w:tcW w:w="940" w:type="dxa"/>
            <w:shd w:val="clear" w:color="auto" w:fill="auto"/>
            <w:noWrap/>
            <w:vAlign w:val="center"/>
            <w:hideMark/>
          </w:tcPr>
          <w:p w14:paraId="751BEAEE"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1997</w:t>
            </w:r>
          </w:p>
        </w:tc>
        <w:tc>
          <w:tcPr>
            <w:tcW w:w="1720" w:type="dxa"/>
            <w:shd w:val="clear" w:color="auto" w:fill="auto"/>
            <w:noWrap/>
            <w:vAlign w:val="center"/>
            <w:hideMark/>
          </w:tcPr>
          <w:p w14:paraId="4B10B162" w14:textId="5BABCC24"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1,483,857</w:t>
            </w:r>
          </w:p>
        </w:tc>
        <w:tc>
          <w:tcPr>
            <w:tcW w:w="2298" w:type="dxa"/>
            <w:shd w:val="clear" w:color="auto" w:fill="auto"/>
            <w:noWrap/>
            <w:vAlign w:val="center"/>
            <w:hideMark/>
          </w:tcPr>
          <w:p w14:paraId="5A71DF6E" w14:textId="0873A472"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6.85</w:t>
            </w:r>
          </w:p>
        </w:tc>
        <w:tc>
          <w:tcPr>
            <w:tcW w:w="1797" w:type="dxa"/>
            <w:shd w:val="clear" w:color="auto" w:fill="auto"/>
            <w:noWrap/>
            <w:vAlign w:val="center"/>
            <w:hideMark/>
          </w:tcPr>
          <w:p w14:paraId="5D956F34" w14:textId="382B8B9D"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12,410,257</w:t>
            </w:r>
          </w:p>
        </w:tc>
        <w:tc>
          <w:tcPr>
            <w:tcW w:w="2226" w:type="dxa"/>
            <w:shd w:val="clear" w:color="auto" w:fill="auto"/>
            <w:noWrap/>
            <w:vAlign w:val="center"/>
            <w:hideMark/>
          </w:tcPr>
          <w:p w14:paraId="48D7FB7A" w14:textId="4A2EFA66"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4.45</w:t>
            </w:r>
          </w:p>
        </w:tc>
      </w:tr>
      <w:tr w:rsidR="00F222BF" w:rsidRPr="00F222BF" w14:paraId="79429B4E" w14:textId="77777777" w:rsidTr="00F25BA2">
        <w:trPr>
          <w:trHeight w:val="300"/>
        </w:trPr>
        <w:tc>
          <w:tcPr>
            <w:tcW w:w="940" w:type="dxa"/>
            <w:shd w:val="clear" w:color="auto" w:fill="auto"/>
            <w:noWrap/>
            <w:vAlign w:val="center"/>
            <w:hideMark/>
          </w:tcPr>
          <w:p w14:paraId="7E90CC3A"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1998</w:t>
            </w:r>
          </w:p>
        </w:tc>
        <w:tc>
          <w:tcPr>
            <w:tcW w:w="1720" w:type="dxa"/>
            <w:shd w:val="clear" w:color="auto" w:fill="auto"/>
            <w:noWrap/>
            <w:vAlign w:val="center"/>
            <w:hideMark/>
          </w:tcPr>
          <w:p w14:paraId="13F7D465" w14:textId="68C3573E"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1,560,482</w:t>
            </w:r>
          </w:p>
        </w:tc>
        <w:tc>
          <w:tcPr>
            <w:tcW w:w="2298" w:type="dxa"/>
            <w:shd w:val="clear" w:color="auto" w:fill="auto"/>
            <w:noWrap/>
            <w:vAlign w:val="center"/>
            <w:hideMark/>
          </w:tcPr>
          <w:p w14:paraId="259BDBF8" w14:textId="57785B51"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5.16</w:t>
            </w:r>
          </w:p>
        </w:tc>
        <w:tc>
          <w:tcPr>
            <w:tcW w:w="1797" w:type="dxa"/>
            <w:shd w:val="clear" w:color="auto" w:fill="auto"/>
            <w:noWrap/>
            <w:vAlign w:val="center"/>
            <w:hideMark/>
          </w:tcPr>
          <w:p w14:paraId="67527230" w14:textId="7997D3BC"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12,966,412</w:t>
            </w:r>
          </w:p>
        </w:tc>
        <w:tc>
          <w:tcPr>
            <w:tcW w:w="2226" w:type="dxa"/>
            <w:shd w:val="clear" w:color="auto" w:fill="auto"/>
            <w:noWrap/>
            <w:vAlign w:val="center"/>
            <w:hideMark/>
          </w:tcPr>
          <w:p w14:paraId="60F38503" w14:textId="0748FA2E"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4.48</w:t>
            </w:r>
          </w:p>
        </w:tc>
      </w:tr>
      <w:tr w:rsidR="00F222BF" w:rsidRPr="00F222BF" w14:paraId="0B166674" w14:textId="77777777" w:rsidTr="00F25BA2">
        <w:trPr>
          <w:trHeight w:val="300"/>
        </w:trPr>
        <w:tc>
          <w:tcPr>
            <w:tcW w:w="940" w:type="dxa"/>
            <w:shd w:val="clear" w:color="auto" w:fill="auto"/>
            <w:noWrap/>
            <w:vAlign w:val="center"/>
            <w:hideMark/>
          </w:tcPr>
          <w:p w14:paraId="0B4CE9AA"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1999</w:t>
            </w:r>
          </w:p>
        </w:tc>
        <w:tc>
          <w:tcPr>
            <w:tcW w:w="1720" w:type="dxa"/>
            <w:shd w:val="clear" w:color="auto" w:fill="auto"/>
            <w:noWrap/>
            <w:vAlign w:val="center"/>
            <w:hideMark/>
          </w:tcPr>
          <w:p w14:paraId="20ACC8A5" w14:textId="28F6E162"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1,603,451</w:t>
            </w:r>
          </w:p>
        </w:tc>
        <w:tc>
          <w:tcPr>
            <w:tcW w:w="2298" w:type="dxa"/>
            <w:shd w:val="clear" w:color="auto" w:fill="auto"/>
            <w:noWrap/>
            <w:vAlign w:val="center"/>
            <w:hideMark/>
          </w:tcPr>
          <w:p w14:paraId="1F9A2A06" w14:textId="3F540B37"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2.75</w:t>
            </w:r>
          </w:p>
        </w:tc>
        <w:tc>
          <w:tcPr>
            <w:tcW w:w="1797" w:type="dxa"/>
            <w:shd w:val="clear" w:color="auto" w:fill="auto"/>
            <w:noWrap/>
            <w:vAlign w:val="center"/>
            <w:hideMark/>
          </w:tcPr>
          <w:p w14:paraId="784AF7FA" w14:textId="50A2BAFF"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13,582,736</w:t>
            </w:r>
          </w:p>
        </w:tc>
        <w:tc>
          <w:tcPr>
            <w:tcW w:w="2226" w:type="dxa"/>
            <w:shd w:val="clear" w:color="auto" w:fill="auto"/>
            <w:noWrap/>
            <w:vAlign w:val="center"/>
            <w:hideMark/>
          </w:tcPr>
          <w:p w14:paraId="6F181CD1" w14:textId="15B26DB6"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4.75</w:t>
            </w:r>
          </w:p>
        </w:tc>
      </w:tr>
      <w:tr w:rsidR="00F222BF" w:rsidRPr="00F222BF" w14:paraId="3C0C9BCA" w14:textId="77777777" w:rsidTr="00F25BA2">
        <w:trPr>
          <w:trHeight w:val="300"/>
        </w:trPr>
        <w:tc>
          <w:tcPr>
            <w:tcW w:w="940" w:type="dxa"/>
            <w:shd w:val="clear" w:color="auto" w:fill="auto"/>
            <w:noWrap/>
            <w:vAlign w:val="center"/>
            <w:hideMark/>
          </w:tcPr>
          <w:p w14:paraId="75653299"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2000</w:t>
            </w:r>
          </w:p>
        </w:tc>
        <w:tc>
          <w:tcPr>
            <w:tcW w:w="1720" w:type="dxa"/>
            <w:shd w:val="clear" w:color="auto" w:fill="auto"/>
            <w:noWrap/>
            <w:vAlign w:val="center"/>
            <w:hideMark/>
          </w:tcPr>
          <w:p w14:paraId="46531C34" w14:textId="223129BF"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1,682,701</w:t>
            </w:r>
          </w:p>
        </w:tc>
        <w:tc>
          <w:tcPr>
            <w:tcW w:w="2298" w:type="dxa"/>
            <w:shd w:val="clear" w:color="auto" w:fill="auto"/>
            <w:noWrap/>
            <w:vAlign w:val="center"/>
            <w:hideMark/>
          </w:tcPr>
          <w:p w14:paraId="7D6DE435" w14:textId="163F2030"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4.94</w:t>
            </w:r>
          </w:p>
        </w:tc>
        <w:tc>
          <w:tcPr>
            <w:tcW w:w="1797" w:type="dxa"/>
            <w:shd w:val="clear" w:color="auto" w:fill="auto"/>
            <w:noWrap/>
            <w:vAlign w:val="center"/>
            <w:hideMark/>
          </w:tcPr>
          <w:p w14:paraId="7BD8C5FA" w14:textId="0DECB177"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14,143,361</w:t>
            </w:r>
          </w:p>
        </w:tc>
        <w:tc>
          <w:tcPr>
            <w:tcW w:w="2226" w:type="dxa"/>
            <w:shd w:val="clear" w:color="auto" w:fill="auto"/>
            <w:noWrap/>
            <w:vAlign w:val="center"/>
            <w:hideMark/>
          </w:tcPr>
          <w:p w14:paraId="46300A6C" w14:textId="79279F07"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4.13</w:t>
            </w:r>
          </w:p>
        </w:tc>
      </w:tr>
      <w:tr w:rsidR="00F222BF" w:rsidRPr="00F222BF" w14:paraId="44650D98" w14:textId="77777777" w:rsidTr="00F25BA2">
        <w:trPr>
          <w:trHeight w:val="300"/>
        </w:trPr>
        <w:tc>
          <w:tcPr>
            <w:tcW w:w="940" w:type="dxa"/>
            <w:shd w:val="clear" w:color="auto" w:fill="auto"/>
            <w:noWrap/>
            <w:vAlign w:val="center"/>
            <w:hideMark/>
          </w:tcPr>
          <w:p w14:paraId="4AC163F5"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2001</w:t>
            </w:r>
          </w:p>
        </w:tc>
        <w:tc>
          <w:tcPr>
            <w:tcW w:w="1720" w:type="dxa"/>
            <w:shd w:val="clear" w:color="auto" w:fill="auto"/>
            <w:noWrap/>
            <w:vAlign w:val="center"/>
            <w:hideMark/>
          </w:tcPr>
          <w:p w14:paraId="78248418" w14:textId="531B4041"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1,675,896</w:t>
            </w:r>
          </w:p>
        </w:tc>
        <w:tc>
          <w:tcPr>
            <w:tcW w:w="2298" w:type="dxa"/>
            <w:shd w:val="clear" w:color="auto" w:fill="auto"/>
            <w:noWrap/>
            <w:vAlign w:val="center"/>
            <w:hideMark/>
          </w:tcPr>
          <w:p w14:paraId="2BEC819C" w14:textId="7930F8B8"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-0.40</w:t>
            </w:r>
          </w:p>
        </w:tc>
        <w:tc>
          <w:tcPr>
            <w:tcW w:w="1797" w:type="dxa"/>
            <w:shd w:val="clear" w:color="auto" w:fill="auto"/>
            <w:noWrap/>
            <w:vAlign w:val="center"/>
            <w:hideMark/>
          </w:tcPr>
          <w:p w14:paraId="2B34FEF0" w14:textId="4C60DA20"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14,284,560</w:t>
            </w:r>
          </w:p>
        </w:tc>
        <w:tc>
          <w:tcPr>
            <w:tcW w:w="2226" w:type="dxa"/>
            <w:shd w:val="clear" w:color="auto" w:fill="auto"/>
            <w:noWrap/>
            <w:vAlign w:val="center"/>
            <w:hideMark/>
          </w:tcPr>
          <w:p w14:paraId="2B24F8AF" w14:textId="000CCD6D"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1.00</w:t>
            </w:r>
          </w:p>
        </w:tc>
      </w:tr>
      <w:tr w:rsidR="00F222BF" w:rsidRPr="00F222BF" w14:paraId="3C15F867" w14:textId="77777777" w:rsidTr="00F25BA2">
        <w:trPr>
          <w:trHeight w:val="300"/>
        </w:trPr>
        <w:tc>
          <w:tcPr>
            <w:tcW w:w="940" w:type="dxa"/>
            <w:shd w:val="clear" w:color="auto" w:fill="auto"/>
            <w:noWrap/>
            <w:vAlign w:val="center"/>
            <w:hideMark/>
          </w:tcPr>
          <w:p w14:paraId="73C746A6"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2002</w:t>
            </w:r>
          </w:p>
        </w:tc>
        <w:tc>
          <w:tcPr>
            <w:tcW w:w="1720" w:type="dxa"/>
            <w:shd w:val="clear" w:color="auto" w:fill="auto"/>
            <w:noWrap/>
            <w:vAlign w:val="center"/>
            <w:hideMark/>
          </w:tcPr>
          <w:p w14:paraId="3EEE449E" w14:textId="577CDC79"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1,675,228</w:t>
            </w:r>
          </w:p>
        </w:tc>
        <w:tc>
          <w:tcPr>
            <w:tcW w:w="2298" w:type="dxa"/>
            <w:shd w:val="clear" w:color="auto" w:fill="auto"/>
            <w:noWrap/>
            <w:vAlign w:val="center"/>
            <w:hideMark/>
          </w:tcPr>
          <w:p w14:paraId="55CB340B" w14:textId="66C2B60F"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-0.04</w:t>
            </w:r>
          </w:p>
        </w:tc>
        <w:tc>
          <w:tcPr>
            <w:tcW w:w="1797" w:type="dxa"/>
            <w:shd w:val="clear" w:color="auto" w:fill="auto"/>
            <w:noWrap/>
            <w:vAlign w:val="center"/>
            <w:hideMark/>
          </w:tcPr>
          <w:p w14:paraId="6F98713F" w14:textId="3A9CEACC"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14,533,353</w:t>
            </w:r>
          </w:p>
        </w:tc>
        <w:tc>
          <w:tcPr>
            <w:tcW w:w="2226" w:type="dxa"/>
            <w:shd w:val="clear" w:color="auto" w:fill="auto"/>
            <w:noWrap/>
            <w:vAlign w:val="center"/>
            <w:hideMark/>
          </w:tcPr>
          <w:p w14:paraId="463D6344" w14:textId="06318812"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1.74</w:t>
            </w:r>
          </w:p>
        </w:tc>
      </w:tr>
      <w:tr w:rsidR="00F222BF" w:rsidRPr="00F222BF" w14:paraId="54906BD9" w14:textId="77777777" w:rsidTr="00F25BA2">
        <w:trPr>
          <w:trHeight w:val="300"/>
        </w:trPr>
        <w:tc>
          <w:tcPr>
            <w:tcW w:w="940" w:type="dxa"/>
            <w:shd w:val="clear" w:color="auto" w:fill="auto"/>
            <w:noWrap/>
            <w:vAlign w:val="center"/>
            <w:hideMark/>
          </w:tcPr>
          <w:p w14:paraId="31E752F2"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2003</w:t>
            </w:r>
          </w:p>
        </w:tc>
        <w:tc>
          <w:tcPr>
            <w:tcW w:w="1720" w:type="dxa"/>
            <w:shd w:val="clear" w:color="auto" w:fill="auto"/>
            <w:noWrap/>
            <w:vAlign w:val="center"/>
            <w:hideMark/>
          </w:tcPr>
          <w:p w14:paraId="1265EB5A" w14:textId="6C22E625"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1,699,459</w:t>
            </w:r>
          </w:p>
        </w:tc>
        <w:tc>
          <w:tcPr>
            <w:tcW w:w="2298" w:type="dxa"/>
            <w:shd w:val="clear" w:color="auto" w:fill="auto"/>
            <w:noWrap/>
            <w:vAlign w:val="center"/>
            <w:hideMark/>
          </w:tcPr>
          <w:p w14:paraId="6B02A293" w14:textId="56CF4A2B"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1.45</w:t>
            </w:r>
          </w:p>
        </w:tc>
        <w:tc>
          <w:tcPr>
            <w:tcW w:w="1797" w:type="dxa"/>
            <w:shd w:val="clear" w:color="auto" w:fill="auto"/>
            <w:noWrap/>
            <w:vAlign w:val="center"/>
            <w:hideMark/>
          </w:tcPr>
          <w:p w14:paraId="5F23DB29" w14:textId="30E8608A"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14,949,183</w:t>
            </w:r>
          </w:p>
        </w:tc>
        <w:tc>
          <w:tcPr>
            <w:tcW w:w="2226" w:type="dxa"/>
            <w:shd w:val="clear" w:color="auto" w:fill="auto"/>
            <w:noWrap/>
            <w:vAlign w:val="center"/>
            <w:hideMark/>
          </w:tcPr>
          <w:p w14:paraId="7D9B942D" w14:textId="353DDA3B"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2.86</w:t>
            </w:r>
          </w:p>
        </w:tc>
      </w:tr>
      <w:tr w:rsidR="00F222BF" w:rsidRPr="00F222BF" w14:paraId="59B3E937" w14:textId="77777777" w:rsidTr="00F25BA2">
        <w:trPr>
          <w:trHeight w:val="300"/>
        </w:trPr>
        <w:tc>
          <w:tcPr>
            <w:tcW w:w="940" w:type="dxa"/>
            <w:tcBorders>
              <w:bottom w:val="single" w:sz="4" w:space="0" w:color="auto"/>
            </w:tcBorders>
            <w:shd w:val="clear" w:color="auto" w:fill="auto"/>
            <w:noWrap/>
            <w:vAlign w:val="center"/>
            <w:hideMark/>
          </w:tcPr>
          <w:p w14:paraId="43863415"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2004</w:t>
            </w:r>
          </w:p>
        </w:tc>
        <w:tc>
          <w:tcPr>
            <w:tcW w:w="1720" w:type="dxa"/>
            <w:tcBorders>
              <w:bottom w:val="single" w:sz="4" w:space="0" w:color="auto"/>
            </w:tcBorders>
            <w:shd w:val="clear" w:color="auto" w:fill="auto"/>
            <w:noWrap/>
            <w:vAlign w:val="center"/>
            <w:hideMark/>
          </w:tcPr>
          <w:p w14:paraId="0E88D1B7" w14:textId="11E411A1"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1,766,087</w:t>
            </w:r>
          </w:p>
        </w:tc>
        <w:tc>
          <w:tcPr>
            <w:tcW w:w="2298" w:type="dxa"/>
            <w:tcBorders>
              <w:bottom w:val="single" w:sz="4" w:space="0" w:color="auto"/>
            </w:tcBorders>
            <w:shd w:val="clear" w:color="auto" w:fill="auto"/>
            <w:noWrap/>
            <w:vAlign w:val="center"/>
            <w:hideMark/>
          </w:tcPr>
          <w:p w14:paraId="31E202EB" w14:textId="695D42F6"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3.92</w:t>
            </w:r>
          </w:p>
        </w:tc>
        <w:tc>
          <w:tcPr>
            <w:tcW w:w="1797" w:type="dxa"/>
            <w:tcBorders>
              <w:bottom w:val="single" w:sz="4" w:space="0" w:color="auto"/>
            </w:tcBorders>
            <w:shd w:val="clear" w:color="auto" w:fill="auto"/>
            <w:noWrap/>
            <w:vAlign w:val="center"/>
            <w:hideMark/>
          </w:tcPr>
          <w:p w14:paraId="4696B601" w14:textId="5DCC4C19"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15,517,086</w:t>
            </w:r>
          </w:p>
        </w:tc>
        <w:tc>
          <w:tcPr>
            <w:tcW w:w="2226" w:type="dxa"/>
            <w:tcBorders>
              <w:bottom w:val="single" w:sz="4" w:space="0" w:color="auto"/>
            </w:tcBorders>
            <w:shd w:val="clear" w:color="auto" w:fill="auto"/>
            <w:noWrap/>
            <w:vAlign w:val="center"/>
            <w:hideMark/>
          </w:tcPr>
          <w:p w14:paraId="1ED12CE4" w14:textId="20E9D9B4" w:rsidR="00F222BF" w:rsidRPr="00F222BF" w:rsidRDefault="00F222BF" w:rsidP="00F222BF">
            <w:pPr>
              <w:spacing w:after="0" w:line="240" w:lineRule="auto"/>
              <w:jc w:val="center"/>
              <w:rPr>
                <w:rFonts w:ascii="Calibri" w:eastAsia="Times New Roman" w:hAnsi="Calibri" w:cs="Calibri"/>
                <w:color w:val="000000"/>
                <w:sz w:val="22"/>
              </w:rPr>
            </w:pPr>
            <w:r w:rsidRPr="00F222BF">
              <w:rPr>
                <w:rFonts w:ascii="Calibri" w:eastAsia="Times New Roman" w:hAnsi="Calibri" w:cs="Calibri"/>
                <w:color w:val="000000"/>
                <w:sz w:val="22"/>
              </w:rPr>
              <w:t>3.80</w:t>
            </w:r>
          </w:p>
        </w:tc>
      </w:tr>
      <w:tr w:rsidR="00F222BF" w:rsidRPr="00F222BF" w14:paraId="2B24DA5C" w14:textId="77777777" w:rsidTr="00F25BA2">
        <w:trPr>
          <w:trHeight w:val="630"/>
        </w:trPr>
        <w:tc>
          <w:tcPr>
            <w:tcW w:w="8981" w:type="dxa"/>
            <w:gridSpan w:val="5"/>
            <w:tcBorders>
              <w:top w:val="single" w:sz="4" w:space="0" w:color="auto"/>
            </w:tcBorders>
            <w:shd w:val="clear" w:color="auto" w:fill="auto"/>
            <w:vAlign w:val="bottom"/>
            <w:hideMark/>
          </w:tcPr>
          <w:p w14:paraId="6606BA45" w14:textId="77777777" w:rsidR="00F222BF" w:rsidRPr="00F222BF" w:rsidRDefault="00F222BF" w:rsidP="00F222BF">
            <w:pPr>
              <w:spacing w:after="0" w:line="240" w:lineRule="auto"/>
              <w:rPr>
                <w:rFonts w:ascii="Calibri" w:eastAsia="Times New Roman" w:hAnsi="Calibri" w:cs="Calibri"/>
                <w:color w:val="000000"/>
                <w:sz w:val="22"/>
              </w:rPr>
            </w:pPr>
            <w:r w:rsidRPr="00F222BF">
              <w:rPr>
                <w:rFonts w:ascii="Calibri" w:eastAsia="Times New Roman" w:hAnsi="Calibri" w:cs="Calibri"/>
                <w:color w:val="000000"/>
                <w:sz w:val="22"/>
              </w:rPr>
              <w:t>Sources: University of Groningen and University of California, Davis, Real GDP at Constant National Prices for Mexico and United States</w:t>
            </w:r>
          </w:p>
        </w:tc>
      </w:tr>
    </w:tbl>
    <w:p w14:paraId="0659A1FD" w14:textId="77777777" w:rsidR="00DB6161" w:rsidRDefault="00DB6161" w:rsidP="00A2583E">
      <w:pPr>
        <w:spacing w:line="480" w:lineRule="auto"/>
        <w:ind w:firstLine="720"/>
        <w:rPr>
          <w:szCs w:val="24"/>
        </w:rPr>
      </w:pPr>
    </w:p>
    <w:p w14:paraId="1D64FB6F" w14:textId="45C21B5E" w:rsidR="000256FC" w:rsidRDefault="0050743C" w:rsidP="00A2583E">
      <w:pPr>
        <w:spacing w:line="480" w:lineRule="auto"/>
        <w:ind w:firstLine="720"/>
        <w:rPr>
          <w:szCs w:val="24"/>
        </w:rPr>
      </w:pPr>
      <w:r>
        <w:rPr>
          <w:szCs w:val="24"/>
        </w:rPr>
        <w:t xml:space="preserve">The difference in real GDP between the United States and Mexico is clearly shown in </w:t>
      </w:r>
      <w:r w:rsidR="00DB6161">
        <w:rPr>
          <w:szCs w:val="24"/>
        </w:rPr>
        <w:t>T</w:t>
      </w:r>
      <w:r>
        <w:rPr>
          <w:szCs w:val="24"/>
        </w:rPr>
        <w:t>able 2</w:t>
      </w:r>
      <w:r w:rsidR="00DB6161">
        <w:rPr>
          <w:szCs w:val="24"/>
        </w:rPr>
        <w:t xml:space="preserve"> with the United </w:t>
      </w:r>
      <w:r w:rsidR="00137A40">
        <w:rPr>
          <w:szCs w:val="24"/>
        </w:rPr>
        <w:t>S</w:t>
      </w:r>
      <w:r w:rsidR="00DB6161">
        <w:rPr>
          <w:szCs w:val="24"/>
        </w:rPr>
        <w:t xml:space="preserve">tates having over 8.53 times the real GDP </w:t>
      </w:r>
      <w:r w:rsidR="00137A40">
        <w:rPr>
          <w:szCs w:val="24"/>
        </w:rPr>
        <w:t>versus</w:t>
      </w:r>
      <w:r w:rsidR="00DB6161">
        <w:rPr>
          <w:szCs w:val="24"/>
        </w:rPr>
        <w:t xml:space="preserve"> Mexico in the year 1990</w:t>
      </w:r>
      <w:r>
        <w:rPr>
          <w:szCs w:val="24"/>
        </w:rPr>
        <w:t xml:space="preserve">. </w:t>
      </w:r>
      <w:r w:rsidR="006B4EAA">
        <w:rPr>
          <w:szCs w:val="24"/>
        </w:rPr>
        <w:t xml:space="preserve">Despite the negative growth in the year 1995, Mexico showed strong growth most likely due to NAFTA spurring positive investment. Between the years 1995 and 2000 the average </w:t>
      </w:r>
      <w:r w:rsidR="006B4EAA">
        <w:rPr>
          <w:szCs w:val="24"/>
        </w:rPr>
        <w:lastRenderedPageBreak/>
        <w:t>annual growth in real GDP</w:t>
      </w:r>
      <w:r w:rsidR="00376C74">
        <w:rPr>
          <w:szCs w:val="24"/>
        </w:rPr>
        <w:t xml:space="preserve"> for Mexico</w:t>
      </w:r>
      <w:r w:rsidR="006B4EAA">
        <w:rPr>
          <w:szCs w:val="24"/>
        </w:rPr>
        <w:t xml:space="preserve"> was </w:t>
      </w:r>
      <w:r w:rsidR="004642FA" w:rsidRPr="004642FA">
        <w:rPr>
          <w:szCs w:val="24"/>
        </w:rPr>
        <w:t>5.87%</w:t>
      </w:r>
      <w:r w:rsidR="006B4EAA">
        <w:rPr>
          <w:szCs w:val="24"/>
        </w:rPr>
        <w:t xml:space="preserve">. </w:t>
      </w:r>
      <w:r w:rsidR="00FD55E9">
        <w:rPr>
          <w:szCs w:val="24"/>
        </w:rPr>
        <w:t xml:space="preserve">Similarly U.S. GDP grew at a healthy </w:t>
      </w:r>
      <w:r w:rsidR="00191AD0">
        <w:rPr>
          <w:szCs w:val="24"/>
        </w:rPr>
        <w:t xml:space="preserve">annual </w:t>
      </w:r>
      <w:r w:rsidR="00FD55E9">
        <w:rPr>
          <w:szCs w:val="24"/>
        </w:rPr>
        <w:t xml:space="preserve">rate of </w:t>
      </w:r>
      <w:r w:rsidR="004642FA">
        <w:rPr>
          <w:szCs w:val="24"/>
        </w:rPr>
        <w:t xml:space="preserve">4.70% </w:t>
      </w:r>
      <w:r w:rsidR="00FD55E9">
        <w:rPr>
          <w:szCs w:val="24"/>
        </w:rPr>
        <w:t xml:space="preserve">for the same time period. </w:t>
      </w:r>
    </w:p>
    <w:p w14:paraId="2FF46C77" w14:textId="7E188853" w:rsidR="00413C18" w:rsidRDefault="00931FE0" w:rsidP="00413C18">
      <w:pPr>
        <w:spacing w:line="480" w:lineRule="auto"/>
        <w:rPr>
          <w:szCs w:val="24"/>
        </w:rPr>
      </w:pPr>
      <w:r>
        <w:rPr>
          <w:noProof/>
        </w:rPr>
        <w:drawing>
          <wp:inline distT="0" distB="0" distL="0" distR="0" wp14:anchorId="0E32E4A5" wp14:editId="5E9F2500">
            <wp:extent cx="5943600" cy="3439795"/>
            <wp:effectExtent l="0" t="0" r="0" b="8255"/>
            <wp:docPr id="3" name="Chart 3">
              <a:extLst xmlns:a="http://schemas.openxmlformats.org/drawingml/2006/main">
                <a:ext uri="{FF2B5EF4-FFF2-40B4-BE49-F238E27FC236}">
                  <a16:creationId xmlns:a16="http://schemas.microsoft.com/office/drawing/2014/main" id="{25014B17-650B-E39D-2551-2C6DCEA3D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F7D64">
        <w:rPr>
          <w:szCs w:val="24"/>
        </w:rPr>
        <w:t xml:space="preserve">Sources: </w:t>
      </w:r>
      <w:r w:rsidR="00AF7D64" w:rsidRPr="00AF7D64">
        <w:rPr>
          <w:szCs w:val="24"/>
        </w:rPr>
        <w:t>University of Groningen and University of California, Davis, Real GDP at Constant National Prices for Mexico</w:t>
      </w:r>
      <w:r w:rsidR="00A90DD9">
        <w:rPr>
          <w:szCs w:val="24"/>
        </w:rPr>
        <w:t xml:space="preserve"> and United States</w:t>
      </w:r>
      <w:r w:rsidR="00AF7D64">
        <w:rPr>
          <w:szCs w:val="24"/>
        </w:rPr>
        <w:t>.</w:t>
      </w:r>
    </w:p>
    <w:p w14:paraId="38A2255A" w14:textId="37A8E97B" w:rsidR="00613284" w:rsidRDefault="00200513" w:rsidP="00B93008">
      <w:pPr>
        <w:spacing w:line="480" w:lineRule="auto"/>
        <w:ind w:firstLine="720"/>
        <w:rPr>
          <w:szCs w:val="24"/>
        </w:rPr>
      </w:pPr>
      <w:r>
        <w:rPr>
          <w:szCs w:val="24"/>
        </w:rPr>
        <w:t>Providing a general overview from the years 199</w:t>
      </w:r>
      <w:r w:rsidR="00461092">
        <w:rPr>
          <w:szCs w:val="24"/>
        </w:rPr>
        <w:t>0</w:t>
      </w:r>
      <w:r>
        <w:rPr>
          <w:szCs w:val="24"/>
        </w:rPr>
        <w:t xml:space="preserve"> to 2019, Figure 1 displays real GDP for the United States and Mexico. </w:t>
      </w:r>
      <w:r w:rsidR="00EF3242">
        <w:rPr>
          <w:szCs w:val="24"/>
        </w:rPr>
        <w:t xml:space="preserve">The year 1994 is shown in detail marking the official start date for the free trade agreement. </w:t>
      </w:r>
      <w:r w:rsidR="00B93008">
        <w:rPr>
          <w:szCs w:val="24"/>
        </w:rPr>
        <w:t xml:space="preserve">Starting from the year 1990 </w:t>
      </w:r>
      <w:r w:rsidR="00251C7E">
        <w:rPr>
          <w:szCs w:val="24"/>
        </w:rPr>
        <w:t>M</w:t>
      </w:r>
      <w:r w:rsidR="00851918">
        <w:rPr>
          <w:szCs w:val="24"/>
        </w:rPr>
        <w:t>e</w:t>
      </w:r>
      <w:r w:rsidR="00251C7E">
        <w:rPr>
          <w:szCs w:val="24"/>
        </w:rPr>
        <w:t>xico’s</w:t>
      </w:r>
      <w:r w:rsidR="00B93008">
        <w:rPr>
          <w:szCs w:val="24"/>
        </w:rPr>
        <w:t xml:space="preserve"> real GDP grew from </w:t>
      </w:r>
      <w:r w:rsidR="00DA53B0">
        <w:rPr>
          <w:szCs w:val="24"/>
        </w:rPr>
        <w:t xml:space="preserve">$1,182,593 million </w:t>
      </w:r>
      <w:r w:rsidR="00B93008">
        <w:rPr>
          <w:szCs w:val="24"/>
        </w:rPr>
        <w:t>to</w:t>
      </w:r>
      <w:r w:rsidR="00DA53B0">
        <w:rPr>
          <w:szCs w:val="24"/>
        </w:rPr>
        <w:t xml:space="preserve"> $</w:t>
      </w:r>
      <w:r w:rsidR="00DA53B0" w:rsidRPr="00DA53B0">
        <w:rPr>
          <w:szCs w:val="24"/>
        </w:rPr>
        <w:t>2</w:t>
      </w:r>
      <w:r w:rsidR="00DA53B0">
        <w:rPr>
          <w:szCs w:val="24"/>
        </w:rPr>
        <w:t>,</w:t>
      </w:r>
      <w:r w:rsidR="00DA53B0" w:rsidRPr="00DA53B0">
        <w:rPr>
          <w:szCs w:val="24"/>
        </w:rPr>
        <w:t>406</w:t>
      </w:r>
      <w:r w:rsidR="00DA53B0">
        <w:rPr>
          <w:szCs w:val="24"/>
        </w:rPr>
        <w:t>,</w:t>
      </w:r>
      <w:r w:rsidR="00DA53B0" w:rsidRPr="00DA53B0">
        <w:rPr>
          <w:szCs w:val="24"/>
        </w:rPr>
        <w:t>410</w:t>
      </w:r>
      <w:r w:rsidR="00DA53B0">
        <w:rPr>
          <w:szCs w:val="24"/>
        </w:rPr>
        <w:t xml:space="preserve"> million in 2019,</w:t>
      </w:r>
      <w:r w:rsidR="00B93008">
        <w:rPr>
          <w:szCs w:val="24"/>
        </w:rPr>
        <w:t xml:space="preserve"> with </w:t>
      </w:r>
      <w:r w:rsidR="00DA53B0">
        <w:rPr>
          <w:szCs w:val="24"/>
        </w:rPr>
        <w:t>an annual</w:t>
      </w:r>
      <w:r w:rsidR="00B93008">
        <w:rPr>
          <w:szCs w:val="24"/>
        </w:rPr>
        <w:t xml:space="preserve"> growth rate of </w:t>
      </w:r>
      <w:r w:rsidR="00DA53B0">
        <w:rPr>
          <w:szCs w:val="24"/>
        </w:rPr>
        <w:t>3.45</w:t>
      </w:r>
      <w:r w:rsidR="00B93008">
        <w:rPr>
          <w:szCs w:val="24"/>
        </w:rPr>
        <w:t xml:space="preserve">%. </w:t>
      </w:r>
      <w:r w:rsidR="00637ABF">
        <w:rPr>
          <w:szCs w:val="24"/>
        </w:rPr>
        <w:t xml:space="preserve">Similarly, U.S. real GDP grew from </w:t>
      </w:r>
      <w:r w:rsidR="00DA53B0" w:rsidRPr="00DA53B0">
        <w:rPr>
          <w:szCs w:val="24"/>
        </w:rPr>
        <w:t>$10,087,555</w:t>
      </w:r>
      <w:r w:rsidR="00DA53B0">
        <w:rPr>
          <w:szCs w:val="24"/>
        </w:rPr>
        <w:t xml:space="preserve"> million in 1990</w:t>
      </w:r>
      <w:r w:rsidR="00637ABF">
        <w:rPr>
          <w:szCs w:val="24"/>
        </w:rPr>
        <w:t xml:space="preserve"> to </w:t>
      </w:r>
      <w:r w:rsidR="00DA53B0" w:rsidRPr="00DA53B0">
        <w:rPr>
          <w:szCs w:val="24"/>
        </w:rPr>
        <w:t>$20,563,592</w:t>
      </w:r>
      <w:r w:rsidR="00DA53B0">
        <w:rPr>
          <w:szCs w:val="24"/>
        </w:rPr>
        <w:t xml:space="preserve"> in 2019 with an annual growth rate of 3.46%.</w:t>
      </w:r>
    </w:p>
    <w:p w14:paraId="45ACBEF2" w14:textId="49F9D5E2" w:rsidR="007324BA" w:rsidRDefault="00BA7E4C" w:rsidP="00F8759D">
      <w:pPr>
        <w:spacing w:line="480" w:lineRule="auto"/>
        <w:ind w:firstLine="720"/>
        <w:rPr>
          <w:szCs w:val="24"/>
        </w:rPr>
      </w:pPr>
      <w:r>
        <w:rPr>
          <w:szCs w:val="24"/>
        </w:rPr>
        <w:t xml:space="preserve">A potential explanation for the </w:t>
      </w:r>
      <w:r w:rsidR="00851918">
        <w:rPr>
          <w:szCs w:val="24"/>
        </w:rPr>
        <w:t xml:space="preserve">continued </w:t>
      </w:r>
      <w:r>
        <w:rPr>
          <w:szCs w:val="24"/>
        </w:rPr>
        <w:t xml:space="preserve">disparities in GDP between the United States </w:t>
      </w:r>
      <w:r w:rsidR="00982851">
        <w:rPr>
          <w:szCs w:val="24"/>
        </w:rPr>
        <w:t>a</w:t>
      </w:r>
      <w:r>
        <w:rPr>
          <w:szCs w:val="24"/>
        </w:rPr>
        <w:t>n</w:t>
      </w:r>
      <w:r w:rsidR="00982851">
        <w:rPr>
          <w:szCs w:val="24"/>
        </w:rPr>
        <w:t>d</w:t>
      </w:r>
      <w:r>
        <w:rPr>
          <w:szCs w:val="24"/>
        </w:rPr>
        <w:t xml:space="preserve"> Mexico is</w:t>
      </w:r>
      <w:r w:rsidR="00982851">
        <w:rPr>
          <w:szCs w:val="24"/>
        </w:rPr>
        <w:t xml:space="preserve"> that</w:t>
      </w:r>
      <w:r>
        <w:rPr>
          <w:szCs w:val="24"/>
        </w:rPr>
        <w:t xml:space="preserve"> the latter remain la</w:t>
      </w:r>
      <w:r w:rsidR="00982851">
        <w:rPr>
          <w:szCs w:val="24"/>
        </w:rPr>
        <w:t>b</w:t>
      </w:r>
      <w:r>
        <w:rPr>
          <w:szCs w:val="24"/>
        </w:rPr>
        <w:t>or rich with poor c</w:t>
      </w:r>
      <w:r w:rsidR="00982851">
        <w:rPr>
          <w:szCs w:val="24"/>
        </w:rPr>
        <w:t>a</w:t>
      </w:r>
      <w:r>
        <w:rPr>
          <w:szCs w:val="24"/>
        </w:rPr>
        <w:t>pital development w</w:t>
      </w:r>
      <w:r w:rsidR="00982851">
        <w:rPr>
          <w:szCs w:val="24"/>
        </w:rPr>
        <w:t>h</w:t>
      </w:r>
      <w:r>
        <w:rPr>
          <w:szCs w:val="24"/>
        </w:rPr>
        <w:t xml:space="preserve">en compared </w:t>
      </w:r>
      <w:r>
        <w:rPr>
          <w:szCs w:val="24"/>
        </w:rPr>
        <w:lastRenderedPageBreak/>
        <w:t xml:space="preserve">to the United States. The data in Table 3 contain </w:t>
      </w:r>
      <w:r w:rsidR="00982851">
        <w:rPr>
          <w:szCs w:val="24"/>
        </w:rPr>
        <w:t xml:space="preserve">measures </w:t>
      </w:r>
      <w:r>
        <w:rPr>
          <w:szCs w:val="24"/>
        </w:rPr>
        <w:t xml:space="preserve">of the </w:t>
      </w:r>
      <w:r w:rsidR="00982851">
        <w:rPr>
          <w:szCs w:val="24"/>
        </w:rPr>
        <w:t>factor</w:t>
      </w:r>
      <w:r>
        <w:rPr>
          <w:szCs w:val="24"/>
        </w:rPr>
        <w:t xml:space="preserve"> endowments between the two countries.</w:t>
      </w:r>
    </w:p>
    <w:tbl>
      <w:tblPr>
        <w:tblW w:w="10228" w:type="dxa"/>
        <w:tblLook w:val="04A0" w:firstRow="1" w:lastRow="0" w:firstColumn="1" w:lastColumn="0" w:noHBand="0" w:noVBand="1"/>
      </w:tblPr>
      <w:tblGrid>
        <w:gridCol w:w="960"/>
        <w:gridCol w:w="1413"/>
        <w:gridCol w:w="1613"/>
        <w:gridCol w:w="1180"/>
        <w:gridCol w:w="1840"/>
        <w:gridCol w:w="1700"/>
        <w:gridCol w:w="1300"/>
        <w:gridCol w:w="222"/>
      </w:tblGrid>
      <w:tr w:rsidR="007324BA" w:rsidRPr="007D062D" w14:paraId="14939991" w14:textId="77777777" w:rsidTr="009F7E51">
        <w:trPr>
          <w:gridAfter w:val="1"/>
          <w:wAfter w:w="222" w:type="dxa"/>
          <w:trHeight w:val="288"/>
        </w:trPr>
        <w:tc>
          <w:tcPr>
            <w:tcW w:w="960" w:type="dxa"/>
            <w:shd w:val="clear" w:color="auto" w:fill="auto"/>
            <w:noWrap/>
            <w:vAlign w:val="bottom"/>
            <w:hideMark/>
          </w:tcPr>
          <w:p w14:paraId="00C743FE" w14:textId="5A79ABF9" w:rsidR="007324BA" w:rsidRPr="00570E30" w:rsidRDefault="007324BA" w:rsidP="00C87E6F">
            <w:pPr>
              <w:spacing w:after="0" w:line="240" w:lineRule="auto"/>
              <w:rPr>
                <w:rFonts w:ascii="Calibri" w:eastAsia="Times New Roman" w:hAnsi="Calibri" w:cs="Calibri"/>
                <w:color w:val="000000"/>
              </w:rPr>
            </w:pPr>
          </w:p>
        </w:tc>
        <w:tc>
          <w:tcPr>
            <w:tcW w:w="1413" w:type="dxa"/>
            <w:shd w:val="clear" w:color="auto" w:fill="auto"/>
            <w:noWrap/>
            <w:vAlign w:val="bottom"/>
            <w:hideMark/>
          </w:tcPr>
          <w:p w14:paraId="77880E02" w14:textId="184C5ACB" w:rsidR="007324BA" w:rsidRPr="007D062D" w:rsidRDefault="007324BA" w:rsidP="00C87E6F">
            <w:pPr>
              <w:spacing w:after="0" w:line="240" w:lineRule="auto"/>
              <w:rPr>
                <w:rFonts w:ascii="Calibri" w:eastAsia="Times New Roman" w:hAnsi="Calibri" w:cs="Calibri"/>
                <w:color w:val="000000"/>
              </w:rPr>
            </w:pPr>
          </w:p>
        </w:tc>
        <w:tc>
          <w:tcPr>
            <w:tcW w:w="1613" w:type="dxa"/>
            <w:shd w:val="clear" w:color="auto" w:fill="auto"/>
            <w:noWrap/>
            <w:vAlign w:val="bottom"/>
            <w:hideMark/>
          </w:tcPr>
          <w:p w14:paraId="398E5F69"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w:t>
            </w:r>
          </w:p>
        </w:tc>
        <w:tc>
          <w:tcPr>
            <w:tcW w:w="1180" w:type="dxa"/>
            <w:shd w:val="clear" w:color="auto" w:fill="auto"/>
            <w:noWrap/>
            <w:vAlign w:val="bottom"/>
            <w:hideMark/>
          </w:tcPr>
          <w:p w14:paraId="25EF07C1"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w:t>
            </w:r>
          </w:p>
        </w:tc>
        <w:tc>
          <w:tcPr>
            <w:tcW w:w="1840" w:type="dxa"/>
            <w:shd w:val="clear" w:color="auto" w:fill="auto"/>
            <w:noWrap/>
            <w:vAlign w:val="bottom"/>
            <w:hideMark/>
          </w:tcPr>
          <w:p w14:paraId="5E092AF6"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w:t>
            </w:r>
          </w:p>
        </w:tc>
        <w:tc>
          <w:tcPr>
            <w:tcW w:w="1700" w:type="dxa"/>
            <w:shd w:val="clear" w:color="auto" w:fill="auto"/>
            <w:noWrap/>
            <w:vAlign w:val="bottom"/>
            <w:hideMark/>
          </w:tcPr>
          <w:p w14:paraId="20C213E2"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w:t>
            </w:r>
          </w:p>
        </w:tc>
        <w:tc>
          <w:tcPr>
            <w:tcW w:w="1300" w:type="dxa"/>
            <w:shd w:val="clear" w:color="auto" w:fill="auto"/>
            <w:noWrap/>
            <w:vAlign w:val="bottom"/>
            <w:hideMark/>
          </w:tcPr>
          <w:p w14:paraId="508189E3"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w:t>
            </w:r>
          </w:p>
        </w:tc>
      </w:tr>
      <w:tr w:rsidR="007324BA" w:rsidRPr="007D062D" w14:paraId="5AC09554" w14:textId="77777777" w:rsidTr="00957F02">
        <w:trPr>
          <w:gridAfter w:val="1"/>
          <w:wAfter w:w="222" w:type="dxa"/>
          <w:trHeight w:val="288"/>
        </w:trPr>
        <w:tc>
          <w:tcPr>
            <w:tcW w:w="10006" w:type="dxa"/>
            <w:gridSpan w:val="7"/>
            <w:shd w:val="clear" w:color="auto" w:fill="auto"/>
            <w:noWrap/>
            <w:hideMark/>
          </w:tcPr>
          <w:p w14:paraId="7D7709D1" w14:textId="7AF12475" w:rsidR="007324BA" w:rsidRPr="00570E30" w:rsidRDefault="00957F02" w:rsidP="00957F02">
            <w:pPr>
              <w:spacing w:after="0" w:line="240" w:lineRule="auto"/>
              <w:rPr>
                <w:rFonts w:ascii="Calibri" w:eastAsia="Times New Roman" w:hAnsi="Calibri" w:cs="Calibri"/>
                <w:color w:val="000000"/>
              </w:rPr>
            </w:pPr>
            <w:r>
              <w:rPr>
                <w:rFonts w:ascii="Calibri" w:eastAsia="Times New Roman" w:hAnsi="Calibri" w:cs="Calibri"/>
                <w:color w:val="000000"/>
              </w:rPr>
              <w:t xml:space="preserve">Table </w:t>
            </w:r>
            <w:r w:rsidR="00E5172E">
              <w:rPr>
                <w:rFonts w:ascii="Calibri" w:eastAsia="Times New Roman" w:hAnsi="Calibri" w:cs="Calibri"/>
                <w:color w:val="000000"/>
              </w:rPr>
              <w:t>3</w:t>
            </w:r>
            <w:r>
              <w:rPr>
                <w:rFonts w:ascii="Calibri" w:eastAsia="Times New Roman" w:hAnsi="Calibri" w:cs="Calibri"/>
                <w:color w:val="000000"/>
              </w:rPr>
              <w:t xml:space="preserve">                                         </w:t>
            </w:r>
            <w:r w:rsidR="007324BA" w:rsidRPr="00E5172E">
              <w:rPr>
                <w:rFonts w:ascii="Calibri" w:eastAsia="Times New Roman" w:hAnsi="Calibri" w:cs="Calibri"/>
                <w:b/>
                <w:bCs/>
                <w:color w:val="000000"/>
              </w:rPr>
              <w:t xml:space="preserve">Factor Endowments </w:t>
            </w:r>
            <w:r w:rsidR="00EF2CB7" w:rsidRPr="00E5172E">
              <w:rPr>
                <w:rFonts w:ascii="Calibri" w:eastAsia="Times New Roman" w:hAnsi="Calibri" w:cs="Calibri"/>
                <w:b/>
                <w:bCs/>
                <w:color w:val="000000"/>
              </w:rPr>
              <w:t>i</w:t>
            </w:r>
            <w:r w:rsidR="007324BA" w:rsidRPr="00E5172E">
              <w:rPr>
                <w:rFonts w:ascii="Calibri" w:eastAsia="Times New Roman" w:hAnsi="Calibri" w:cs="Calibri"/>
                <w:b/>
                <w:bCs/>
                <w:color w:val="000000"/>
              </w:rPr>
              <w:t>n Mexico and the U.S.</w:t>
            </w:r>
          </w:p>
        </w:tc>
      </w:tr>
      <w:tr w:rsidR="007324BA" w:rsidRPr="007D062D" w14:paraId="253616FD" w14:textId="77777777" w:rsidTr="009F7E51">
        <w:trPr>
          <w:gridAfter w:val="1"/>
          <w:wAfter w:w="222" w:type="dxa"/>
          <w:trHeight w:val="288"/>
        </w:trPr>
        <w:tc>
          <w:tcPr>
            <w:tcW w:w="960" w:type="dxa"/>
            <w:tcBorders>
              <w:bottom w:val="single" w:sz="4" w:space="0" w:color="auto"/>
            </w:tcBorders>
            <w:shd w:val="clear" w:color="auto" w:fill="auto"/>
            <w:noWrap/>
            <w:vAlign w:val="bottom"/>
            <w:hideMark/>
          </w:tcPr>
          <w:p w14:paraId="292DA1D7"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w:t>
            </w:r>
          </w:p>
        </w:tc>
        <w:tc>
          <w:tcPr>
            <w:tcW w:w="4206" w:type="dxa"/>
            <w:gridSpan w:val="3"/>
            <w:tcBorders>
              <w:bottom w:val="single" w:sz="4" w:space="0" w:color="auto"/>
            </w:tcBorders>
            <w:shd w:val="clear" w:color="auto" w:fill="auto"/>
            <w:noWrap/>
            <w:vAlign w:val="bottom"/>
            <w:hideMark/>
          </w:tcPr>
          <w:p w14:paraId="56A68547" w14:textId="77777777" w:rsidR="007324BA" w:rsidRPr="007D062D" w:rsidRDefault="007324BA" w:rsidP="00C87E6F">
            <w:pPr>
              <w:spacing w:after="0" w:line="240" w:lineRule="auto"/>
              <w:jc w:val="center"/>
              <w:rPr>
                <w:rFonts w:ascii="Calibri" w:eastAsia="Times New Roman" w:hAnsi="Calibri" w:cs="Calibri"/>
                <w:b/>
                <w:bCs/>
                <w:color w:val="000000"/>
              </w:rPr>
            </w:pPr>
            <w:r w:rsidRPr="007D062D">
              <w:rPr>
                <w:rFonts w:ascii="Calibri" w:eastAsia="Times New Roman" w:hAnsi="Calibri" w:cs="Calibri"/>
                <w:b/>
                <w:bCs/>
                <w:color w:val="000000"/>
              </w:rPr>
              <w:t>Mexico</w:t>
            </w:r>
          </w:p>
        </w:tc>
        <w:tc>
          <w:tcPr>
            <w:tcW w:w="4840" w:type="dxa"/>
            <w:gridSpan w:val="3"/>
            <w:tcBorders>
              <w:bottom w:val="single" w:sz="4" w:space="0" w:color="auto"/>
            </w:tcBorders>
            <w:shd w:val="clear" w:color="auto" w:fill="auto"/>
            <w:noWrap/>
            <w:vAlign w:val="bottom"/>
            <w:hideMark/>
          </w:tcPr>
          <w:p w14:paraId="4D53DC45" w14:textId="77777777" w:rsidR="007324BA" w:rsidRPr="007D062D" w:rsidRDefault="007324BA" w:rsidP="00C87E6F">
            <w:pPr>
              <w:spacing w:after="0" w:line="240" w:lineRule="auto"/>
              <w:jc w:val="center"/>
              <w:rPr>
                <w:rFonts w:ascii="Calibri" w:eastAsia="Times New Roman" w:hAnsi="Calibri" w:cs="Calibri"/>
                <w:b/>
                <w:bCs/>
                <w:color w:val="000000"/>
              </w:rPr>
            </w:pPr>
            <w:r w:rsidRPr="007D062D">
              <w:rPr>
                <w:rFonts w:ascii="Calibri" w:eastAsia="Times New Roman" w:hAnsi="Calibri" w:cs="Calibri"/>
                <w:b/>
                <w:bCs/>
                <w:color w:val="000000"/>
              </w:rPr>
              <w:t>United States</w:t>
            </w:r>
          </w:p>
        </w:tc>
      </w:tr>
      <w:tr w:rsidR="007324BA" w:rsidRPr="007D062D" w14:paraId="1D73C84E" w14:textId="77777777" w:rsidTr="009F7E51">
        <w:trPr>
          <w:gridAfter w:val="1"/>
          <w:wAfter w:w="222" w:type="dxa"/>
          <w:trHeight w:val="476"/>
        </w:trPr>
        <w:tc>
          <w:tcPr>
            <w:tcW w:w="960" w:type="dxa"/>
            <w:vMerge w:val="restart"/>
            <w:tcBorders>
              <w:top w:val="single" w:sz="4" w:space="0" w:color="auto"/>
            </w:tcBorders>
            <w:shd w:val="clear" w:color="auto" w:fill="auto"/>
            <w:noWrap/>
            <w:vAlign w:val="center"/>
            <w:hideMark/>
          </w:tcPr>
          <w:p w14:paraId="271CAC2C"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Year</w:t>
            </w:r>
          </w:p>
        </w:tc>
        <w:tc>
          <w:tcPr>
            <w:tcW w:w="1413" w:type="dxa"/>
            <w:vMerge w:val="restart"/>
            <w:tcBorders>
              <w:top w:val="single" w:sz="4" w:space="0" w:color="auto"/>
            </w:tcBorders>
            <w:shd w:val="clear" w:color="auto" w:fill="auto"/>
            <w:vAlign w:val="center"/>
            <w:hideMark/>
          </w:tcPr>
          <w:p w14:paraId="1205D9AC"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Labor force (Thousands)</w:t>
            </w:r>
          </w:p>
        </w:tc>
        <w:tc>
          <w:tcPr>
            <w:tcW w:w="1613" w:type="dxa"/>
            <w:vMerge w:val="restart"/>
            <w:tcBorders>
              <w:top w:val="single" w:sz="4" w:space="0" w:color="auto"/>
            </w:tcBorders>
            <w:shd w:val="clear" w:color="auto" w:fill="auto"/>
            <w:noWrap/>
            <w:vAlign w:val="center"/>
            <w:hideMark/>
          </w:tcPr>
          <w:p w14:paraId="057C4C1E" w14:textId="4FDBBCC3"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Capital Stock*</w:t>
            </w:r>
            <w:r w:rsidR="00646F17">
              <w:rPr>
                <w:rFonts w:ascii="Calibri" w:eastAsia="Times New Roman" w:hAnsi="Calibri" w:cs="Calibri"/>
                <w:color w:val="000000"/>
              </w:rPr>
              <w:t xml:space="preserve"> (Million USD)</w:t>
            </w:r>
          </w:p>
        </w:tc>
        <w:tc>
          <w:tcPr>
            <w:tcW w:w="1180" w:type="dxa"/>
            <w:vMerge w:val="restart"/>
            <w:tcBorders>
              <w:top w:val="single" w:sz="4" w:space="0" w:color="auto"/>
            </w:tcBorders>
            <w:shd w:val="clear" w:color="auto" w:fill="auto"/>
            <w:noWrap/>
            <w:vAlign w:val="center"/>
            <w:hideMark/>
          </w:tcPr>
          <w:p w14:paraId="0C80C9F5"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L/K</w:t>
            </w:r>
          </w:p>
        </w:tc>
        <w:tc>
          <w:tcPr>
            <w:tcW w:w="1840" w:type="dxa"/>
            <w:vMerge w:val="restart"/>
            <w:tcBorders>
              <w:top w:val="single" w:sz="4" w:space="0" w:color="auto"/>
            </w:tcBorders>
            <w:shd w:val="clear" w:color="auto" w:fill="auto"/>
            <w:vAlign w:val="center"/>
            <w:hideMark/>
          </w:tcPr>
          <w:p w14:paraId="43D0722D"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Labor Force** (Thousands)</w:t>
            </w:r>
          </w:p>
        </w:tc>
        <w:tc>
          <w:tcPr>
            <w:tcW w:w="1700" w:type="dxa"/>
            <w:vMerge w:val="restart"/>
            <w:tcBorders>
              <w:top w:val="single" w:sz="4" w:space="0" w:color="auto"/>
            </w:tcBorders>
            <w:shd w:val="clear" w:color="auto" w:fill="auto"/>
            <w:noWrap/>
            <w:vAlign w:val="center"/>
            <w:hideMark/>
          </w:tcPr>
          <w:p w14:paraId="2EB90EB3" w14:textId="2A20C832"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Capital Stock*</w:t>
            </w:r>
            <w:r w:rsidR="00646F17">
              <w:rPr>
                <w:rFonts w:ascii="Calibri" w:eastAsia="Times New Roman" w:hAnsi="Calibri" w:cs="Calibri"/>
                <w:color w:val="000000"/>
              </w:rPr>
              <w:t xml:space="preserve"> (Million USD)</w:t>
            </w:r>
          </w:p>
        </w:tc>
        <w:tc>
          <w:tcPr>
            <w:tcW w:w="1300" w:type="dxa"/>
            <w:vMerge w:val="restart"/>
            <w:tcBorders>
              <w:top w:val="single" w:sz="4" w:space="0" w:color="auto"/>
            </w:tcBorders>
            <w:shd w:val="clear" w:color="auto" w:fill="auto"/>
            <w:noWrap/>
            <w:vAlign w:val="center"/>
            <w:hideMark/>
          </w:tcPr>
          <w:p w14:paraId="0C75C784"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L/K</w:t>
            </w:r>
          </w:p>
        </w:tc>
      </w:tr>
      <w:tr w:rsidR="007324BA" w:rsidRPr="007D062D" w14:paraId="1B520095" w14:textId="77777777" w:rsidTr="009F7E51">
        <w:trPr>
          <w:trHeight w:val="288"/>
        </w:trPr>
        <w:tc>
          <w:tcPr>
            <w:tcW w:w="960" w:type="dxa"/>
            <w:vMerge/>
            <w:tcBorders>
              <w:bottom w:val="single" w:sz="4" w:space="0" w:color="auto"/>
            </w:tcBorders>
            <w:vAlign w:val="center"/>
            <w:hideMark/>
          </w:tcPr>
          <w:p w14:paraId="7DD81865" w14:textId="77777777" w:rsidR="007324BA" w:rsidRPr="007D062D" w:rsidRDefault="007324BA" w:rsidP="00C87E6F">
            <w:pPr>
              <w:spacing w:after="0" w:line="240" w:lineRule="auto"/>
              <w:rPr>
                <w:rFonts w:ascii="Calibri" w:eastAsia="Times New Roman" w:hAnsi="Calibri" w:cs="Calibri"/>
                <w:color w:val="000000"/>
              </w:rPr>
            </w:pPr>
          </w:p>
        </w:tc>
        <w:tc>
          <w:tcPr>
            <w:tcW w:w="1413" w:type="dxa"/>
            <w:vMerge/>
            <w:tcBorders>
              <w:bottom w:val="single" w:sz="4" w:space="0" w:color="auto"/>
            </w:tcBorders>
            <w:vAlign w:val="center"/>
            <w:hideMark/>
          </w:tcPr>
          <w:p w14:paraId="662CE681" w14:textId="77777777" w:rsidR="007324BA" w:rsidRPr="007D062D" w:rsidRDefault="007324BA" w:rsidP="00C87E6F">
            <w:pPr>
              <w:spacing w:after="0" w:line="240" w:lineRule="auto"/>
              <w:rPr>
                <w:rFonts w:ascii="Calibri" w:eastAsia="Times New Roman" w:hAnsi="Calibri" w:cs="Calibri"/>
                <w:color w:val="000000"/>
              </w:rPr>
            </w:pPr>
          </w:p>
        </w:tc>
        <w:tc>
          <w:tcPr>
            <w:tcW w:w="1613" w:type="dxa"/>
            <w:vMerge/>
            <w:tcBorders>
              <w:bottom w:val="single" w:sz="4" w:space="0" w:color="auto"/>
            </w:tcBorders>
            <w:vAlign w:val="center"/>
            <w:hideMark/>
          </w:tcPr>
          <w:p w14:paraId="6393E0F7" w14:textId="77777777" w:rsidR="007324BA" w:rsidRPr="007D062D" w:rsidRDefault="007324BA" w:rsidP="00C87E6F">
            <w:pPr>
              <w:spacing w:after="0" w:line="240" w:lineRule="auto"/>
              <w:rPr>
                <w:rFonts w:ascii="Calibri" w:eastAsia="Times New Roman" w:hAnsi="Calibri" w:cs="Calibri"/>
                <w:color w:val="000000"/>
              </w:rPr>
            </w:pPr>
          </w:p>
        </w:tc>
        <w:tc>
          <w:tcPr>
            <w:tcW w:w="1180" w:type="dxa"/>
            <w:vMerge/>
            <w:tcBorders>
              <w:bottom w:val="single" w:sz="4" w:space="0" w:color="auto"/>
            </w:tcBorders>
            <w:vAlign w:val="center"/>
            <w:hideMark/>
          </w:tcPr>
          <w:p w14:paraId="3B2A5878" w14:textId="77777777" w:rsidR="007324BA" w:rsidRPr="007D062D" w:rsidRDefault="007324BA" w:rsidP="00C87E6F">
            <w:pPr>
              <w:spacing w:after="0" w:line="240" w:lineRule="auto"/>
              <w:rPr>
                <w:rFonts w:ascii="Calibri" w:eastAsia="Times New Roman" w:hAnsi="Calibri" w:cs="Calibri"/>
                <w:color w:val="000000"/>
              </w:rPr>
            </w:pPr>
          </w:p>
        </w:tc>
        <w:tc>
          <w:tcPr>
            <w:tcW w:w="1840" w:type="dxa"/>
            <w:vMerge/>
            <w:tcBorders>
              <w:bottom w:val="single" w:sz="4" w:space="0" w:color="auto"/>
            </w:tcBorders>
            <w:vAlign w:val="center"/>
            <w:hideMark/>
          </w:tcPr>
          <w:p w14:paraId="6290CD48" w14:textId="77777777" w:rsidR="007324BA" w:rsidRPr="007D062D" w:rsidRDefault="007324BA" w:rsidP="00C87E6F">
            <w:pPr>
              <w:spacing w:after="0" w:line="240" w:lineRule="auto"/>
              <w:rPr>
                <w:rFonts w:ascii="Calibri" w:eastAsia="Times New Roman" w:hAnsi="Calibri" w:cs="Calibri"/>
                <w:color w:val="000000"/>
              </w:rPr>
            </w:pPr>
          </w:p>
        </w:tc>
        <w:tc>
          <w:tcPr>
            <w:tcW w:w="1700" w:type="dxa"/>
            <w:vMerge/>
            <w:tcBorders>
              <w:bottom w:val="single" w:sz="4" w:space="0" w:color="auto"/>
            </w:tcBorders>
            <w:vAlign w:val="center"/>
            <w:hideMark/>
          </w:tcPr>
          <w:p w14:paraId="68202D41" w14:textId="77777777" w:rsidR="007324BA" w:rsidRPr="007D062D" w:rsidRDefault="007324BA" w:rsidP="00C87E6F">
            <w:pPr>
              <w:spacing w:after="0" w:line="240" w:lineRule="auto"/>
              <w:rPr>
                <w:rFonts w:ascii="Calibri" w:eastAsia="Times New Roman" w:hAnsi="Calibri" w:cs="Calibri"/>
                <w:color w:val="000000"/>
              </w:rPr>
            </w:pPr>
          </w:p>
        </w:tc>
        <w:tc>
          <w:tcPr>
            <w:tcW w:w="1300" w:type="dxa"/>
            <w:vMerge/>
            <w:tcBorders>
              <w:bottom w:val="single" w:sz="4" w:space="0" w:color="auto"/>
            </w:tcBorders>
            <w:vAlign w:val="center"/>
            <w:hideMark/>
          </w:tcPr>
          <w:p w14:paraId="3574F83F" w14:textId="77777777" w:rsidR="007324BA" w:rsidRPr="007D062D" w:rsidRDefault="007324BA" w:rsidP="00C87E6F">
            <w:pPr>
              <w:spacing w:after="0" w:line="240" w:lineRule="auto"/>
              <w:rPr>
                <w:rFonts w:ascii="Calibri" w:eastAsia="Times New Roman" w:hAnsi="Calibri" w:cs="Calibri"/>
                <w:color w:val="000000"/>
              </w:rPr>
            </w:pPr>
          </w:p>
        </w:tc>
        <w:tc>
          <w:tcPr>
            <w:tcW w:w="222" w:type="dxa"/>
            <w:shd w:val="clear" w:color="auto" w:fill="auto"/>
            <w:noWrap/>
            <w:vAlign w:val="bottom"/>
            <w:hideMark/>
          </w:tcPr>
          <w:p w14:paraId="6364565C" w14:textId="77777777" w:rsidR="007324BA" w:rsidRPr="007D062D" w:rsidRDefault="007324BA" w:rsidP="00C87E6F">
            <w:pPr>
              <w:spacing w:after="0" w:line="240" w:lineRule="auto"/>
              <w:jc w:val="center"/>
              <w:rPr>
                <w:rFonts w:ascii="Calibri" w:eastAsia="Times New Roman" w:hAnsi="Calibri" w:cs="Calibri"/>
                <w:color w:val="000000"/>
              </w:rPr>
            </w:pPr>
          </w:p>
        </w:tc>
      </w:tr>
      <w:tr w:rsidR="007324BA" w:rsidRPr="007D062D" w14:paraId="3ADDF91D" w14:textId="77777777" w:rsidTr="00EF2CB7">
        <w:trPr>
          <w:trHeight w:val="288"/>
        </w:trPr>
        <w:tc>
          <w:tcPr>
            <w:tcW w:w="960" w:type="dxa"/>
            <w:tcBorders>
              <w:top w:val="single" w:sz="4" w:space="0" w:color="auto"/>
            </w:tcBorders>
            <w:shd w:val="clear" w:color="auto" w:fill="auto"/>
            <w:noWrap/>
            <w:vAlign w:val="bottom"/>
            <w:hideMark/>
          </w:tcPr>
          <w:p w14:paraId="33ED22F4"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1990</w:t>
            </w:r>
          </w:p>
        </w:tc>
        <w:tc>
          <w:tcPr>
            <w:tcW w:w="1413" w:type="dxa"/>
            <w:tcBorders>
              <w:top w:val="single" w:sz="4" w:space="0" w:color="auto"/>
            </w:tcBorders>
            <w:shd w:val="clear" w:color="auto" w:fill="auto"/>
            <w:noWrap/>
            <w:vAlign w:val="bottom"/>
            <w:hideMark/>
          </w:tcPr>
          <w:p w14:paraId="2B62C7C7"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xml:space="preserve">     29,482.134 </w:t>
            </w:r>
          </w:p>
        </w:tc>
        <w:tc>
          <w:tcPr>
            <w:tcW w:w="1613" w:type="dxa"/>
            <w:tcBorders>
              <w:top w:val="single" w:sz="4" w:space="0" w:color="auto"/>
            </w:tcBorders>
            <w:shd w:val="clear" w:color="auto" w:fill="auto"/>
            <w:noWrap/>
            <w:vAlign w:val="bottom"/>
            <w:hideMark/>
          </w:tcPr>
          <w:p w14:paraId="0796EEAB" w14:textId="4850B09D"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5,480,143.5</w:t>
            </w:r>
          </w:p>
        </w:tc>
        <w:tc>
          <w:tcPr>
            <w:tcW w:w="1180" w:type="dxa"/>
            <w:tcBorders>
              <w:top w:val="single" w:sz="4" w:space="0" w:color="auto"/>
            </w:tcBorders>
            <w:shd w:val="clear" w:color="auto" w:fill="auto"/>
            <w:noWrap/>
            <w:vAlign w:val="bottom"/>
            <w:hideMark/>
          </w:tcPr>
          <w:p w14:paraId="444ED3A3"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5.38</w:t>
            </w:r>
          </w:p>
        </w:tc>
        <w:tc>
          <w:tcPr>
            <w:tcW w:w="1840" w:type="dxa"/>
            <w:tcBorders>
              <w:top w:val="single" w:sz="4" w:space="0" w:color="auto"/>
            </w:tcBorders>
            <w:shd w:val="clear" w:color="auto" w:fill="auto"/>
            <w:noWrap/>
            <w:vAlign w:val="bottom"/>
            <w:hideMark/>
          </w:tcPr>
          <w:p w14:paraId="1F19F2ED" w14:textId="7CC436BF" w:rsidR="007324BA" w:rsidRPr="007D062D" w:rsidRDefault="007324BA" w:rsidP="00EF2CB7">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125,833.0</w:t>
            </w:r>
          </w:p>
        </w:tc>
        <w:tc>
          <w:tcPr>
            <w:tcW w:w="1700" w:type="dxa"/>
            <w:tcBorders>
              <w:top w:val="single" w:sz="4" w:space="0" w:color="auto"/>
            </w:tcBorders>
            <w:shd w:val="clear" w:color="auto" w:fill="auto"/>
            <w:noWrap/>
            <w:vAlign w:val="bottom"/>
            <w:hideMark/>
          </w:tcPr>
          <w:p w14:paraId="4189385A" w14:textId="547F1205"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38,223,836.0</w:t>
            </w:r>
          </w:p>
        </w:tc>
        <w:tc>
          <w:tcPr>
            <w:tcW w:w="1300" w:type="dxa"/>
            <w:tcBorders>
              <w:top w:val="single" w:sz="4" w:space="0" w:color="auto"/>
            </w:tcBorders>
            <w:shd w:val="clear" w:color="auto" w:fill="auto"/>
            <w:noWrap/>
            <w:vAlign w:val="bottom"/>
            <w:hideMark/>
          </w:tcPr>
          <w:p w14:paraId="4843AEC2"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3.29</w:t>
            </w:r>
          </w:p>
        </w:tc>
        <w:tc>
          <w:tcPr>
            <w:tcW w:w="222" w:type="dxa"/>
            <w:vAlign w:val="center"/>
            <w:hideMark/>
          </w:tcPr>
          <w:p w14:paraId="67942F0D"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78C3D8D8" w14:textId="77777777" w:rsidTr="00EF2CB7">
        <w:trPr>
          <w:trHeight w:val="288"/>
        </w:trPr>
        <w:tc>
          <w:tcPr>
            <w:tcW w:w="960" w:type="dxa"/>
            <w:shd w:val="clear" w:color="auto" w:fill="auto"/>
            <w:noWrap/>
            <w:vAlign w:val="bottom"/>
            <w:hideMark/>
          </w:tcPr>
          <w:p w14:paraId="70AA9CE2"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1995</w:t>
            </w:r>
          </w:p>
        </w:tc>
        <w:tc>
          <w:tcPr>
            <w:tcW w:w="1413" w:type="dxa"/>
            <w:shd w:val="clear" w:color="auto" w:fill="auto"/>
            <w:noWrap/>
            <w:vAlign w:val="bottom"/>
            <w:hideMark/>
          </w:tcPr>
          <w:p w14:paraId="5C5171A7"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xml:space="preserve">     34,427.266 </w:t>
            </w:r>
          </w:p>
        </w:tc>
        <w:tc>
          <w:tcPr>
            <w:tcW w:w="1613" w:type="dxa"/>
            <w:shd w:val="clear" w:color="auto" w:fill="auto"/>
            <w:noWrap/>
            <w:vAlign w:val="bottom"/>
            <w:hideMark/>
          </w:tcPr>
          <w:p w14:paraId="3B81EEB5" w14:textId="5A9449AE"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6,328,489.5</w:t>
            </w:r>
          </w:p>
        </w:tc>
        <w:tc>
          <w:tcPr>
            <w:tcW w:w="1180" w:type="dxa"/>
            <w:shd w:val="clear" w:color="auto" w:fill="auto"/>
            <w:noWrap/>
            <w:vAlign w:val="bottom"/>
            <w:hideMark/>
          </w:tcPr>
          <w:p w14:paraId="02AF63D5"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5.44</w:t>
            </w:r>
          </w:p>
        </w:tc>
        <w:tc>
          <w:tcPr>
            <w:tcW w:w="1840" w:type="dxa"/>
            <w:shd w:val="clear" w:color="auto" w:fill="auto"/>
            <w:noWrap/>
            <w:vAlign w:val="bottom"/>
            <w:hideMark/>
          </w:tcPr>
          <w:p w14:paraId="1D95A032" w14:textId="448627A2" w:rsidR="007324BA" w:rsidRPr="007D062D" w:rsidRDefault="007324BA" w:rsidP="00EF2CB7">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132,038.0</w:t>
            </w:r>
          </w:p>
        </w:tc>
        <w:tc>
          <w:tcPr>
            <w:tcW w:w="1700" w:type="dxa"/>
            <w:shd w:val="clear" w:color="auto" w:fill="auto"/>
            <w:noWrap/>
            <w:vAlign w:val="bottom"/>
            <w:hideMark/>
          </w:tcPr>
          <w:p w14:paraId="102F7264" w14:textId="7C86A544"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42,632,688.0</w:t>
            </w:r>
          </w:p>
        </w:tc>
        <w:tc>
          <w:tcPr>
            <w:tcW w:w="1300" w:type="dxa"/>
            <w:shd w:val="clear" w:color="auto" w:fill="auto"/>
            <w:noWrap/>
            <w:vAlign w:val="bottom"/>
            <w:hideMark/>
          </w:tcPr>
          <w:p w14:paraId="074410BE"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3.10</w:t>
            </w:r>
          </w:p>
        </w:tc>
        <w:tc>
          <w:tcPr>
            <w:tcW w:w="222" w:type="dxa"/>
            <w:vAlign w:val="center"/>
            <w:hideMark/>
          </w:tcPr>
          <w:p w14:paraId="5942F528"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4431F5A8" w14:textId="77777777" w:rsidTr="00EF2CB7">
        <w:trPr>
          <w:trHeight w:val="288"/>
        </w:trPr>
        <w:tc>
          <w:tcPr>
            <w:tcW w:w="960" w:type="dxa"/>
            <w:shd w:val="clear" w:color="auto" w:fill="auto"/>
            <w:noWrap/>
            <w:vAlign w:val="bottom"/>
            <w:hideMark/>
          </w:tcPr>
          <w:p w14:paraId="0C62C418"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2000</w:t>
            </w:r>
          </w:p>
        </w:tc>
        <w:tc>
          <w:tcPr>
            <w:tcW w:w="1413" w:type="dxa"/>
            <w:shd w:val="clear" w:color="auto" w:fill="auto"/>
            <w:noWrap/>
            <w:vAlign w:val="bottom"/>
            <w:hideMark/>
          </w:tcPr>
          <w:p w14:paraId="4409764E"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xml:space="preserve">     38,540.145 </w:t>
            </w:r>
          </w:p>
        </w:tc>
        <w:tc>
          <w:tcPr>
            <w:tcW w:w="1613" w:type="dxa"/>
            <w:shd w:val="clear" w:color="auto" w:fill="auto"/>
            <w:noWrap/>
            <w:vAlign w:val="bottom"/>
            <w:hideMark/>
          </w:tcPr>
          <w:p w14:paraId="3A0C60E8" w14:textId="05DB7F77"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7,283,199.0</w:t>
            </w:r>
          </w:p>
        </w:tc>
        <w:tc>
          <w:tcPr>
            <w:tcW w:w="1180" w:type="dxa"/>
            <w:shd w:val="clear" w:color="auto" w:fill="auto"/>
            <w:noWrap/>
            <w:vAlign w:val="bottom"/>
            <w:hideMark/>
          </w:tcPr>
          <w:p w14:paraId="07EE8491"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5.29</w:t>
            </w:r>
          </w:p>
        </w:tc>
        <w:tc>
          <w:tcPr>
            <w:tcW w:w="1840" w:type="dxa"/>
            <w:shd w:val="clear" w:color="auto" w:fill="auto"/>
            <w:noWrap/>
            <w:vAlign w:val="bottom"/>
            <w:hideMark/>
          </w:tcPr>
          <w:p w14:paraId="646071CF" w14:textId="69CBCAC2" w:rsidR="007324BA" w:rsidRPr="007D062D" w:rsidRDefault="007324BA" w:rsidP="00EF2CB7">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142,267.0</w:t>
            </w:r>
          </w:p>
        </w:tc>
        <w:tc>
          <w:tcPr>
            <w:tcW w:w="1700" w:type="dxa"/>
            <w:shd w:val="clear" w:color="auto" w:fill="auto"/>
            <w:noWrap/>
            <w:vAlign w:val="bottom"/>
            <w:hideMark/>
          </w:tcPr>
          <w:p w14:paraId="62FB08CF" w14:textId="3DFBB61F"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49,368,260.0</w:t>
            </w:r>
          </w:p>
        </w:tc>
        <w:tc>
          <w:tcPr>
            <w:tcW w:w="1300" w:type="dxa"/>
            <w:shd w:val="clear" w:color="auto" w:fill="auto"/>
            <w:noWrap/>
            <w:vAlign w:val="bottom"/>
            <w:hideMark/>
          </w:tcPr>
          <w:p w14:paraId="538DDBA5"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2.88</w:t>
            </w:r>
          </w:p>
        </w:tc>
        <w:tc>
          <w:tcPr>
            <w:tcW w:w="222" w:type="dxa"/>
            <w:vAlign w:val="center"/>
            <w:hideMark/>
          </w:tcPr>
          <w:p w14:paraId="043018BE"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5F44D00B" w14:textId="77777777" w:rsidTr="00EF2CB7">
        <w:trPr>
          <w:trHeight w:val="288"/>
        </w:trPr>
        <w:tc>
          <w:tcPr>
            <w:tcW w:w="960" w:type="dxa"/>
            <w:shd w:val="clear" w:color="auto" w:fill="auto"/>
            <w:noWrap/>
            <w:vAlign w:val="bottom"/>
            <w:hideMark/>
          </w:tcPr>
          <w:p w14:paraId="4BAA168E"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2005</w:t>
            </w:r>
          </w:p>
        </w:tc>
        <w:tc>
          <w:tcPr>
            <w:tcW w:w="1413" w:type="dxa"/>
            <w:shd w:val="clear" w:color="auto" w:fill="auto"/>
            <w:noWrap/>
            <w:vAlign w:val="bottom"/>
            <w:hideMark/>
          </w:tcPr>
          <w:p w14:paraId="57302E56"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xml:space="preserve">     42,869.547 </w:t>
            </w:r>
          </w:p>
        </w:tc>
        <w:tc>
          <w:tcPr>
            <w:tcW w:w="1613" w:type="dxa"/>
            <w:shd w:val="clear" w:color="auto" w:fill="auto"/>
            <w:noWrap/>
            <w:vAlign w:val="bottom"/>
            <w:hideMark/>
          </w:tcPr>
          <w:p w14:paraId="6E6E7088" w14:textId="50B5B73F"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8,070,939.0</w:t>
            </w:r>
          </w:p>
        </w:tc>
        <w:tc>
          <w:tcPr>
            <w:tcW w:w="1180" w:type="dxa"/>
            <w:shd w:val="clear" w:color="auto" w:fill="auto"/>
            <w:noWrap/>
            <w:vAlign w:val="bottom"/>
            <w:hideMark/>
          </w:tcPr>
          <w:p w14:paraId="1DE002B3"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5.31</w:t>
            </w:r>
          </w:p>
        </w:tc>
        <w:tc>
          <w:tcPr>
            <w:tcW w:w="1840" w:type="dxa"/>
            <w:shd w:val="clear" w:color="auto" w:fill="auto"/>
            <w:noWrap/>
            <w:vAlign w:val="bottom"/>
            <w:hideMark/>
          </w:tcPr>
          <w:p w14:paraId="35D45915" w14:textId="6FEF0F08" w:rsidR="007324BA" w:rsidRPr="007D062D" w:rsidRDefault="007324BA" w:rsidP="00EF2CB7">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148,029.0</w:t>
            </w:r>
          </w:p>
        </w:tc>
        <w:tc>
          <w:tcPr>
            <w:tcW w:w="1700" w:type="dxa"/>
            <w:shd w:val="clear" w:color="auto" w:fill="auto"/>
            <w:noWrap/>
            <w:vAlign w:val="bottom"/>
            <w:hideMark/>
          </w:tcPr>
          <w:p w14:paraId="2E6A3C1E" w14:textId="07C2246A"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56,084,488.0</w:t>
            </w:r>
          </w:p>
        </w:tc>
        <w:tc>
          <w:tcPr>
            <w:tcW w:w="1300" w:type="dxa"/>
            <w:shd w:val="clear" w:color="auto" w:fill="auto"/>
            <w:noWrap/>
            <w:vAlign w:val="bottom"/>
            <w:hideMark/>
          </w:tcPr>
          <w:p w14:paraId="3C911B4C"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2.64</w:t>
            </w:r>
          </w:p>
        </w:tc>
        <w:tc>
          <w:tcPr>
            <w:tcW w:w="222" w:type="dxa"/>
            <w:vAlign w:val="center"/>
            <w:hideMark/>
          </w:tcPr>
          <w:p w14:paraId="25D108A1"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135493D9" w14:textId="77777777" w:rsidTr="00EF2CB7">
        <w:trPr>
          <w:trHeight w:val="288"/>
        </w:trPr>
        <w:tc>
          <w:tcPr>
            <w:tcW w:w="960" w:type="dxa"/>
            <w:shd w:val="clear" w:color="auto" w:fill="auto"/>
            <w:noWrap/>
            <w:vAlign w:val="bottom"/>
            <w:hideMark/>
          </w:tcPr>
          <w:p w14:paraId="6DEE21BE"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2010</w:t>
            </w:r>
          </w:p>
        </w:tc>
        <w:tc>
          <w:tcPr>
            <w:tcW w:w="1413" w:type="dxa"/>
            <w:shd w:val="clear" w:color="auto" w:fill="auto"/>
            <w:noWrap/>
            <w:vAlign w:val="bottom"/>
            <w:hideMark/>
          </w:tcPr>
          <w:p w14:paraId="63915781"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xml:space="preserve">     47,982.609 </w:t>
            </w:r>
          </w:p>
        </w:tc>
        <w:tc>
          <w:tcPr>
            <w:tcW w:w="1613" w:type="dxa"/>
            <w:shd w:val="clear" w:color="auto" w:fill="auto"/>
            <w:noWrap/>
            <w:vAlign w:val="bottom"/>
            <w:hideMark/>
          </w:tcPr>
          <w:p w14:paraId="59D6D5D7" w14:textId="6643BC82"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9,112,659.0</w:t>
            </w:r>
          </w:p>
        </w:tc>
        <w:tc>
          <w:tcPr>
            <w:tcW w:w="1180" w:type="dxa"/>
            <w:shd w:val="clear" w:color="auto" w:fill="auto"/>
            <w:noWrap/>
            <w:vAlign w:val="bottom"/>
            <w:hideMark/>
          </w:tcPr>
          <w:p w14:paraId="21D67B1D"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5.27</w:t>
            </w:r>
          </w:p>
        </w:tc>
        <w:tc>
          <w:tcPr>
            <w:tcW w:w="1840" w:type="dxa"/>
            <w:shd w:val="clear" w:color="auto" w:fill="auto"/>
            <w:noWrap/>
            <w:vAlign w:val="bottom"/>
            <w:hideMark/>
          </w:tcPr>
          <w:p w14:paraId="3C3DD17D" w14:textId="1AB70756" w:rsidR="007324BA" w:rsidRPr="007D062D" w:rsidRDefault="007324BA" w:rsidP="00EF2CB7">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153,484.0</w:t>
            </w:r>
          </w:p>
        </w:tc>
        <w:tc>
          <w:tcPr>
            <w:tcW w:w="1700" w:type="dxa"/>
            <w:shd w:val="clear" w:color="auto" w:fill="auto"/>
            <w:noWrap/>
            <w:vAlign w:val="bottom"/>
            <w:hideMark/>
          </w:tcPr>
          <w:p w14:paraId="2A9A8CF7" w14:textId="249874B6"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61,054,676.0</w:t>
            </w:r>
          </w:p>
        </w:tc>
        <w:tc>
          <w:tcPr>
            <w:tcW w:w="1300" w:type="dxa"/>
            <w:shd w:val="clear" w:color="auto" w:fill="auto"/>
            <w:noWrap/>
            <w:vAlign w:val="bottom"/>
            <w:hideMark/>
          </w:tcPr>
          <w:p w14:paraId="061EB06F"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2.51</w:t>
            </w:r>
          </w:p>
        </w:tc>
        <w:tc>
          <w:tcPr>
            <w:tcW w:w="222" w:type="dxa"/>
            <w:vAlign w:val="center"/>
            <w:hideMark/>
          </w:tcPr>
          <w:p w14:paraId="6263377D"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30051AD2" w14:textId="77777777" w:rsidTr="00EF2CB7">
        <w:trPr>
          <w:trHeight w:val="288"/>
        </w:trPr>
        <w:tc>
          <w:tcPr>
            <w:tcW w:w="960" w:type="dxa"/>
            <w:shd w:val="clear" w:color="auto" w:fill="auto"/>
            <w:noWrap/>
            <w:vAlign w:val="bottom"/>
            <w:hideMark/>
          </w:tcPr>
          <w:p w14:paraId="2EB8B2B7"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2015</w:t>
            </w:r>
          </w:p>
        </w:tc>
        <w:tc>
          <w:tcPr>
            <w:tcW w:w="1413" w:type="dxa"/>
            <w:shd w:val="clear" w:color="auto" w:fill="auto"/>
            <w:noWrap/>
            <w:vAlign w:val="bottom"/>
            <w:hideMark/>
          </w:tcPr>
          <w:p w14:paraId="7EACE9DF"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xml:space="preserve">     52,732.562 </w:t>
            </w:r>
          </w:p>
        </w:tc>
        <w:tc>
          <w:tcPr>
            <w:tcW w:w="1613" w:type="dxa"/>
            <w:shd w:val="clear" w:color="auto" w:fill="auto"/>
            <w:noWrap/>
            <w:vAlign w:val="bottom"/>
            <w:hideMark/>
          </w:tcPr>
          <w:p w14:paraId="4A951695" w14:textId="4FA3B226"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10,192,998.0</w:t>
            </w:r>
          </w:p>
        </w:tc>
        <w:tc>
          <w:tcPr>
            <w:tcW w:w="1180" w:type="dxa"/>
            <w:shd w:val="clear" w:color="auto" w:fill="auto"/>
            <w:noWrap/>
            <w:vAlign w:val="bottom"/>
            <w:hideMark/>
          </w:tcPr>
          <w:p w14:paraId="549034A9"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5.17</w:t>
            </w:r>
          </w:p>
        </w:tc>
        <w:tc>
          <w:tcPr>
            <w:tcW w:w="1840" w:type="dxa"/>
            <w:shd w:val="clear" w:color="auto" w:fill="auto"/>
            <w:noWrap/>
            <w:vAlign w:val="bottom"/>
            <w:hideMark/>
          </w:tcPr>
          <w:p w14:paraId="3B410BC4" w14:textId="13077C7A" w:rsidR="007324BA" w:rsidRPr="007D062D" w:rsidRDefault="007324BA" w:rsidP="00EF2CB7">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157,030.0</w:t>
            </w:r>
          </w:p>
        </w:tc>
        <w:tc>
          <w:tcPr>
            <w:tcW w:w="1700" w:type="dxa"/>
            <w:shd w:val="clear" w:color="auto" w:fill="auto"/>
            <w:noWrap/>
            <w:vAlign w:val="bottom"/>
            <w:hideMark/>
          </w:tcPr>
          <w:p w14:paraId="496D25E9" w14:textId="372F172A"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65,057,816.0</w:t>
            </w:r>
          </w:p>
        </w:tc>
        <w:tc>
          <w:tcPr>
            <w:tcW w:w="1300" w:type="dxa"/>
            <w:shd w:val="clear" w:color="auto" w:fill="auto"/>
            <w:noWrap/>
            <w:vAlign w:val="bottom"/>
            <w:hideMark/>
          </w:tcPr>
          <w:p w14:paraId="7B542EF6"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2.41</w:t>
            </w:r>
          </w:p>
        </w:tc>
        <w:tc>
          <w:tcPr>
            <w:tcW w:w="222" w:type="dxa"/>
            <w:vAlign w:val="center"/>
            <w:hideMark/>
          </w:tcPr>
          <w:p w14:paraId="679A92F8"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02A70C8E" w14:textId="77777777" w:rsidTr="00EF2CB7">
        <w:trPr>
          <w:trHeight w:val="288"/>
        </w:trPr>
        <w:tc>
          <w:tcPr>
            <w:tcW w:w="960" w:type="dxa"/>
            <w:tcBorders>
              <w:bottom w:val="single" w:sz="4" w:space="0" w:color="auto"/>
            </w:tcBorders>
            <w:shd w:val="clear" w:color="auto" w:fill="auto"/>
            <w:noWrap/>
            <w:vAlign w:val="bottom"/>
            <w:hideMark/>
          </w:tcPr>
          <w:p w14:paraId="4EE2C540"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2019</w:t>
            </w:r>
          </w:p>
        </w:tc>
        <w:tc>
          <w:tcPr>
            <w:tcW w:w="1413" w:type="dxa"/>
            <w:tcBorders>
              <w:bottom w:val="single" w:sz="4" w:space="0" w:color="auto"/>
            </w:tcBorders>
            <w:shd w:val="clear" w:color="auto" w:fill="auto"/>
            <w:noWrap/>
            <w:vAlign w:val="bottom"/>
            <w:hideMark/>
          </w:tcPr>
          <w:p w14:paraId="6CB615B8"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xml:space="preserve">     56,596.004 </w:t>
            </w:r>
          </w:p>
        </w:tc>
        <w:tc>
          <w:tcPr>
            <w:tcW w:w="1613" w:type="dxa"/>
            <w:tcBorders>
              <w:bottom w:val="single" w:sz="4" w:space="0" w:color="auto"/>
            </w:tcBorders>
            <w:shd w:val="clear" w:color="auto" w:fill="auto"/>
            <w:noWrap/>
            <w:vAlign w:val="bottom"/>
            <w:hideMark/>
          </w:tcPr>
          <w:p w14:paraId="206C1C25" w14:textId="55F63D5C"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10,934,023.0</w:t>
            </w:r>
          </w:p>
        </w:tc>
        <w:tc>
          <w:tcPr>
            <w:tcW w:w="1180" w:type="dxa"/>
            <w:tcBorders>
              <w:bottom w:val="single" w:sz="4" w:space="0" w:color="auto"/>
            </w:tcBorders>
            <w:shd w:val="clear" w:color="auto" w:fill="auto"/>
            <w:noWrap/>
            <w:vAlign w:val="bottom"/>
            <w:hideMark/>
          </w:tcPr>
          <w:p w14:paraId="6E808B49"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5.18</w:t>
            </w:r>
          </w:p>
        </w:tc>
        <w:tc>
          <w:tcPr>
            <w:tcW w:w="1840" w:type="dxa"/>
            <w:tcBorders>
              <w:bottom w:val="single" w:sz="4" w:space="0" w:color="auto"/>
            </w:tcBorders>
            <w:shd w:val="clear" w:color="auto" w:fill="auto"/>
            <w:noWrap/>
            <w:vAlign w:val="bottom"/>
            <w:hideMark/>
          </w:tcPr>
          <w:p w14:paraId="546C532C" w14:textId="08F5BBFA" w:rsidR="007324BA" w:rsidRPr="007D062D" w:rsidRDefault="007324BA" w:rsidP="00EF2CB7">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163,072.0</w:t>
            </w:r>
          </w:p>
        </w:tc>
        <w:tc>
          <w:tcPr>
            <w:tcW w:w="1700" w:type="dxa"/>
            <w:tcBorders>
              <w:bottom w:val="single" w:sz="4" w:space="0" w:color="auto"/>
            </w:tcBorders>
            <w:shd w:val="clear" w:color="auto" w:fill="auto"/>
            <w:noWrap/>
            <w:vAlign w:val="bottom"/>
            <w:hideMark/>
          </w:tcPr>
          <w:p w14:paraId="5ABFAF4D" w14:textId="629CDF4A" w:rsidR="007324BA" w:rsidRPr="007D062D" w:rsidRDefault="007324BA" w:rsidP="00C87E6F">
            <w:pPr>
              <w:spacing w:after="0" w:line="240" w:lineRule="auto"/>
              <w:jc w:val="right"/>
              <w:rPr>
                <w:rFonts w:ascii="Calibri" w:eastAsia="Times New Roman" w:hAnsi="Calibri" w:cs="Calibri"/>
                <w:color w:val="000000"/>
              </w:rPr>
            </w:pPr>
            <w:r w:rsidRPr="007D062D">
              <w:rPr>
                <w:rFonts w:ascii="Calibri" w:eastAsia="Times New Roman" w:hAnsi="Calibri" w:cs="Calibri"/>
                <w:color w:val="000000"/>
              </w:rPr>
              <w:t>69,059,064.0</w:t>
            </w:r>
          </w:p>
        </w:tc>
        <w:tc>
          <w:tcPr>
            <w:tcW w:w="1300" w:type="dxa"/>
            <w:tcBorders>
              <w:bottom w:val="single" w:sz="4" w:space="0" w:color="auto"/>
            </w:tcBorders>
            <w:shd w:val="clear" w:color="auto" w:fill="auto"/>
            <w:noWrap/>
            <w:vAlign w:val="bottom"/>
            <w:hideMark/>
          </w:tcPr>
          <w:p w14:paraId="06B50188" w14:textId="77777777" w:rsidR="007324BA" w:rsidRPr="007D062D" w:rsidRDefault="007324BA" w:rsidP="00C87E6F">
            <w:pPr>
              <w:spacing w:after="0" w:line="240" w:lineRule="auto"/>
              <w:jc w:val="center"/>
              <w:rPr>
                <w:rFonts w:ascii="Calibri" w:eastAsia="Times New Roman" w:hAnsi="Calibri" w:cs="Calibri"/>
                <w:color w:val="000000"/>
              </w:rPr>
            </w:pPr>
            <w:r w:rsidRPr="007D062D">
              <w:rPr>
                <w:rFonts w:ascii="Calibri" w:eastAsia="Times New Roman" w:hAnsi="Calibri" w:cs="Calibri"/>
                <w:color w:val="000000"/>
              </w:rPr>
              <w:t>2.36</w:t>
            </w:r>
          </w:p>
        </w:tc>
        <w:tc>
          <w:tcPr>
            <w:tcW w:w="222" w:type="dxa"/>
            <w:vAlign w:val="center"/>
            <w:hideMark/>
          </w:tcPr>
          <w:p w14:paraId="690868BD"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7AA4AA30" w14:textId="77777777" w:rsidTr="00EF2CB7">
        <w:trPr>
          <w:trHeight w:val="288"/>
        </w:trPr>
        <w:tc>
          <w:tcPr>
            <w:tcW w:w="10006" w:type="dxa"/>
            <w:gridSpan w:val="7"/>
            <w:tcBorders>
              <w:top w:val="single" w:sz="4" w:space="0" w:color="auto"/>
            </w:tcBorders>
            <w:shd w:val="clear" w:color="auto" w:fill="auto"/>
            <w:noWrap/>
            <w:hideMark/>
          </w:tcPr>
          <w:p w14:paraId="5D995AA8"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Constant National Prices in Millions of 2017 USD</w:t>
            </w:r>
          </w:p>
        </w:tc>
        <w:tc>
          <w:tcPr>
            <w:tcW w:w="222" w:type="dxa"/>
            <w:vAlign w:val="center"/>
            <w:hideMark/>
          </w:tcPr>
          <w:p w14:paraId="5F37CC47"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64D4E872" w14:textId="77777777" w:rsidTr="009F7E51">
        <w:trPr>
          <w:trHeight w:val="288"/>
        </w:trPr>
        <w:tc>
          <w:tcPr>
            <w:tcW w:w="10006" w:type="dxa"/>
            <w:gridSpan w:val="7"/>
            <w:shd w:val="clear" w:color="auto" w:fill="auto"/>
            <w:noWrap/>
            <w:hideMark/>
          </w:tcPr>
          <w:p w14:paraId="1A21F0F2" w14:textId="77777777"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 Monthly Data, first month of the year used</w:t>
            </w:r>
          </w:p>
        </w:tc>
        <w:tc>
          <w:tcPr>
            <w:tcW w:w="222" w:type="dxa"/>
            <w:vAlign w:val="center"/>
            <w:hideMark/>
          </w:tcPr>
          <w:p w14:paraId="232530FC"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r w:rsidR="007324BA" w:rsidRPr="007D062D" w14:paraId="136E6293" w14:textId="77777777" w:rsidTr="009F7E51">
        <w:trPr>
          <w:trHeight w:val="288"/>
        </w:trPr>
        <w:tc>
          <w:tcPr>
            <w:tcW w:w="10006" w:type="dxa"/>
            <w:gridSpan w:val="7"/>
            <w:shd w:val="clear" w:color="auto" w:fill="auto"/>
            <w:noWrap/>
            <w:hideMark/>
          </w:tcPr>
          <w:p w14:paraId="56E64065" w14:textId="743A4833" w:rsidR="007324BA" w:rsidRPr="007D062D" w:rsidRDefault="007324BA" w:rsidP="00C87E6F">
            <w:pPr>
              <w:spacing w:after="0" w:line="240" w:lineRule="auto"/>
              <w:rPr>
                <w:rFonts w:ascii="Calibri" w:eastAsia="Times New Roman" w:hAnsi="Calibri" w:cs="Calibri"/>
                <w:color w:val="000000"/>
              </w:rPr>
            </w:pPr>
            <w:r w:rsidRPr="007D062D">
              <w:rPr>
                <w:rFonts w:ascii="Calibri" w:eastAsia="Times New Roman" w:hAnsi="Calibri" w:cs="Calibri"/>
                <w:color w:val="000000"/>
              </w:rPr>
              <w:t>Sources:</w:t>
            </w:r>
            <w:r w:rsidR="00F474DA">
              <w:rPr>
                <w:rFonts w:ascii="Calibri" w:eastAsia="Times New Roman" w:hAnsi="Calibri" w:cs="Calibri"/>
                <w:color w:val="000000"/>
              </w:rPr>
              <w:t xml:space="preserve"> St. Louis FRED,</w:t>
            </w:r>
            <w:r w:rsidRPr="007D062D">
              <w:rPr>
                <w:rFonts w:ascii="Calibri" w:eastAsia="Times New Roman" w:hAnsi="Calibri" w:cs="Calibri"/>
                <w:color w:val="000000"/>
              </w:rPr>
              <w:t xml:space="preserve"> </w:t>
            </w:r>
            <w:r w:rsidR="003A0667" w:rsidRPr="003A0667">
              <w:rPr>
                <w:rFonts w:cstheme="minorHAnsi"/>
                <w:szCs w:val="24"/>
              </w:rPr>
              <w:t>U.S. Bureau of Labor Statistics</w:t>
            </w:r>
            <w:r w:rsidRPr="007D062D">
              <w:rPr>
                <w:rFonts w:ascii="Calibri" w:eastAsia="Times New Roman" w:hAnsi="Calibri" w:cs="Calibri"/>
                <w:color w:val="000000"/>
              </w:rPr>
              <w:t>, World Bank</w:t>
            </w:r>
          </w:p>
        </w:tc>
        <w:tc>
          <w:tcPr>
            <w:tcW w:w="222" w:type="dxa"/>
            <w:vAlign w:val="center"/>
            <w:hideMark/>
          </w:tcPr>
          <w:p w14:paraId="5A413A82" w14:textId="77777777" w:rsidR="007324BA" w:rsidRPr="007D062D" w:rsidRDefault="007324BA" w:rsidP="00C87E6F">
            <w:pPr>
              <w:spacing w:after="0" w:line="240" w:lineRule="auto"/>
              <w:rPr>
                <w:rFonts w:ascii="Times New Roman" w:eastAsia="Times New Roman" w:hAnsi="Times New Roman" w:cs="Times New Roman"/>
                <w:sz w:val="20"/>
                <w:szCs w:val="20"/>
              </w:rPr>
            </w:pPr>
          </w:p>
        </w:tc>
      </w:tr>
    </w:tbl>
    <w:p w14:paraId="3D6056C3" w14:textId="77777777" w:rsidR="00772212" w:rsidRDefault="00772212" w:rsidP="00936E06">
      <w:pPr>
        <w:spacing w:line="480" w:lineRule="auto"/>
        <w:ind w:firstLine="720"/>
        <w:rPr>
          <w:szCs w:val="24"/>
        </w:rPr>
      </w:pPr>
    </w:p>
    <w:p w14:paraId="19FAAFA3" w14:textId="44978675" w:rsidR="007324BA" w:rsidRDefault="007324BA" w:rsidP="00936E06">
      <w:pPr>
        <w:spacing w:line="480" w:lineRule="auto"/>
        <w:ind w:firstLine="720"/>
        <w:rPr>
          <w:szCs w:val="24"/>
        </w:rPr>
      </w:pPr>
      <w:r w:rsidRPr="007324BA">
        <w:rPr>
          <w:szCs w:val="24"/>
        </w:rPr>
        <w:t xml:space="preserve">The data in Table </w:t>
      </w:r>
      <w:r w:rsidR="00437894">
        <w:rPr>
          <w:szCs w:val="24"/>
        </w:rPr>
        <w:t>3</w:t>
      </w:r>
      <w:r w:rsidRPr="007324BA">
        <w:rPr>
          <w:szCs w:val="24"/>
        </w:rPr>
        <w:t xml:space="preserve"> clearly shows that Mexico ha</w:t>
      </w:r>
      <w:r w:rsidR="00E75B9C">
        <w:rPr>
          <w:szCs w:val="24"/>
        </w:rPr>
        <w:t>d</w:t>
      </w:r>
      <w:r w:rsidRPr="007324BA">
        <w:rPr>
          <w:szCs w:val="24"/>
        </w:rPr>
        <w:t xml:space="preserve"> more labor relative to the United States in every year sampled, shown by the Labor (L) to Capital (K) ratio being higher in Mexico. Mexico’s L/K ratio decreased from 5.38 in 1990 to 5.18 in 2019 a difference of 0.20. Meanwhile</w:t>
      </w:r>
      <w:r w:rsidR="0032538B">
        <w:rPr>
          <w:szCs w:val="24"/>
        </w:rPr>
        <w:t>,</w:t>
      </w:r>
      <w:r w:rsidRPr="007324BA">
        <w:rPr>
          <w:szCs w:val="24"/>
        </w:rPr>
        <w:t xml:space="preserve"> the United States’ L/K ratio decreased from 3.29 in 1990 to 2.36 in 2019</w:t>
      </w:r>
      <w:r w:rsidR="0032538B">
        <w:rPr>
          <w:szCs w:val="24"/>
        </w:rPr>
        <w:t>,</w:t>
      </w:r>
      <w:r w:rsidRPr="007324BA">
        <w:rPr>
          <w:szCs w:val="24"/>
        </w:rPr>
        <w:t xml:space="preserve"> a difference of 0.93. While the L/K ratio trended downwards for both countries, the United States had a larger decrease in its L/K ratio, meaning that the </w:t>
      </w:r>
      <w:r w:rsidR="00945B50" w:rsidRPr="007324BA">
        <w:rPr>
          <w:szCs w:val="24"/>
        </w:rPr>
        <w:t>United States</w:t>
      </w:r>
      <w:r w:rsidRPr="007324BA">
        <w:rPr>
          <w:szCs w:val="24"/>
        </w:rPr>
        <w:t xml:space="preserve"> gained </w:t>
      </w:r>
      <w:r w:rsidRPr="004E35B6">
        <w:rPr>
          <w:szCs w:val="24"/>
        </w:rPr>
        <w:t>more</w:t>
      </w:r>
      <w:r w:rsidRPr="007324BA">
        <w:rPr>
          <w:szCs w:val="24"/>
        </w:rPr>
        <w:t xml:space="preserve"> capital relative to Mexico in the same time period. </w:t>
      </w:r>
    </w:p>
    <w:p w14:paraId="17A89CCB" w14:textId="52865FC6" w:rsidR="000C2C48" w:rsidRDefault="000C2C48" w:rsidP="000C2C48">
      <w:r>
        <w:rPr>
          <w:noProof/>
        </w:rPr>
        <w:lastRenderedPageBreak/>
        <w:drawing>
          <wp:inline distT="0" distB="0" distL="0" distR="0" wp14:anchorId="55C0989C" wp14:editId="363CAA78">
            <wp:extent cx="5943600" cy="3227705"/>
            <wp:effectExtent l="0" t="0" r="0" b="10795"/>
            <wp:docPr id="4" name="Chart 4">
              <a:extLst xmlns:a="http://schemas.openxmlformats.org/drawingml/2006/main">
                <a:ext uri="{FF2B5EF4-FFF2-40B4-BE49-F238E27FC236}">
                  <a16:creationId xmlns:a16="http://schemas.microsoft.com/office/drawing/2014/main" id="{00CAB214-0698-6A70-3ABB-7B39426EC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szCs w:val="24"/>
        </w:rPr>
        <w:t xml:space="preserve">Sources: </w:t>
      </w:r>
      <w:r>
        <w:t xml:space="preserve">St. Louis FRED, </w:t>
      </w:r>
      <w:r w:rsidRPr="003A0667">
        <w:rPr>
          <w:rFonts w:cstheme="minorHAnsi"/>
          <w:szCs w:val="24"/>
        </w:rPr>
        <w:t>U.S. Bureau of Labor Statistics</w:t>
      </w:r>
      <w:r w:rsidRPr="007D062D">
        <w:rPr>
          <w:rFonts w:ascii="Calibri" w:eastAsia="Times New Roman" w:hAnsi="Calibri" w:cs="Calibri"/>
          <w:color w:val="000000"/>
        </w:rPr>
        <w:t>, World Bank</w:t>
      </w:r>
    </w:p>
    <w:p w14:paraId="423F82CA" w14:textId="59770DEC" w:rsidR="00B70BEE" w:rsidRDefault="00E75B9C" w:rsidP="00B70BEE">
      <w:pPr>
        <w:spacing w:line="480" w:lineRule="auto"/>
        <w:ind w:firstLine="720"/>
        <w:rPr>
          <w:b/>
          <w:bCs/>
        </w:rPr>
      </w:pPr>
      <w:r>
        <w:t>Providing an expanded view</w:t>
      </w:r>
      <w:r w:rsidR="00982851">
        <w:t>,</w:t>
      </w:r>
      <w:r w:rsidR="00723E49">
        <w:t xml:space="preserve"> </w:t>
      </w:r>
      <w:r>
        <w:t>t</w:t>
      </w:r>
      <w:r w:rsidR="00D344D6">
        <w:t xml:space="preserve">he data in </w:t>
      </w:r>
      <w:r w:rsidR="008928B7">
        <w:t>Figure</w:t>
      </w:r>
      <w:r w:rsidR="009D126D">
        <w:t xml:space="preserve"> </w:t>
      </w:r>
      <w:r w:rsidR="00051658">
        <w:t>2</w:t>
      </w:r>
      <w:r w:rsidR="009D126D">
        <w:t xml:space="preserve"> </w:t>
      </w:r>
      <w:r>
        <w:t>displays the downward trend for the respective countries’</w:t>
      </w:r>
      <w:r w:rsidR="002855B6">
        <w:t xml:space="preserve"> L/K ratio</w:t>
      </w:r>
      <w:r w:rsidR="00982851">
        <w:t xml:space="preserve">. When viewing the data </w:t>
      </w:r>
      <w:r w:rsidR="003271C0">
        <w:t>in a wider scope,</w:t>
      </w:r>
      <w:r w:rsidR="00982851">
        <w:t xml:space="preserve"> it is clear that </w:t>
      </w:r>
      <w:r w:rsidR="008928B7">
        <w:t>Mexico remain</w:t>
      </w:r>
      <w:r w:rsidR="00982851">
        <w:t>ed</w:t>
      </w:r>
      <w:r w:rsidR="008928B7">
        <w:t xml:space="preserve"> close to the initial </w:t>
      </w:r>
      <w:r w:rsidR="002855B6">
        <w:t xml:space="preserve">1990 </w:t>
      </w:r>
      <w:r w:rsidR="008577D3">
        <w:t>L/K ratio</w:t>
      </w:r>
      <w:r w:rsidR="008928B7">
        <w:t xml:space="preserve"> of 5.38</w:t>
      </w:r>
      <w:r w:rsidR="009B64E4">
        <w:t>.</w:t>
      </w:r>
      <w:r w:rsidR="008928B7">
        <w:t xml:space="preserve"> </w:t>
      </w:r>
      <w:r w:rsidR="0032538B">
        <w:t>Of note, in the years following NAFTA</w:t>
      </w:r>
      <w:r w:rsidR="001E0CA6">
        <w:t>,</w:t>
      </w:r>
      <w:r w:rsidR="0032538B">
        <w:t xml:space="preserve"> Mexico’s </w:t>
      </w:r>
      <w:r w:rsidR="001D5DF6">
        <w:t>L/K ratio was the highest in 1997 with a value of 5.54, possibly due to the effects of the Peso Crisis and subsequent labor shifts.</w:t>
      </w:r>
      <w:r w:rsidR="00961E25">
        <w:t xml:space="preserve"> </w:t>
      </w:r>
      <w:r w:rsidR="00961E25" w:rsidRPr="003271C0">
        <w:t>The trend in the United States can clearly be see</w:t>
      </w:r>
      <w:r w:rsidR="00D904B8">
        <w:t>n</w:t>
      </w:r>
      <w:r w:rsidR="00961E25" w:rsidRPr="003271C0">
        <w:t xml:space="preserve"> with the L/K ratio </w:t>
      </w:r>
      <w:r w:rsidR="003153F1" w:rsidRPr="003271C0">
        <w:t>decreas</w:t>
      </w:r>
      <w:r w:rsidR="00961E25" w:rsidRPr="003271C0">
        <w:t xml:space="preserve">ing more rapidly </w:t>
      </w:r>
      <w:r w:rsidR="0084564C">
        <w:t>within</w:t>
      </w:r>
      <w:r w:rsidR="00961E25" w:rsidRPr="003271C0">
        <w:t xml:space="preserve"> the years shown.</w:t>
      </w:r>
      <w:r w:rsidR="00961E25" w:rsidRPr="002814BC">
        <w:rPr>
          <w:b/>
          <w:bCs/>
        </w:rPr>
        <w:t xml:space="preserve"> </w:t>
      </w:r>
    </w:p>
    <w:p w14:paraId="177AE0FF" w14:textId="77777777" w:rsidR="00B70BEE" w:rsidRDefault="00E15DF2" w:rsidP="00B70BEE">
      <w:pPr>
        <w:spacing w:line="480" w:lineRule="auto"/>
        <w:ind w:firstLine="720"/>
      </w:pPr>
      <w:r>
        <w:t xml:space="preserve">The author acknowledges that the data provided cannot be used to completely assert the fact that NAFTA kept Mexico labor rich, however, it is believed that there is a viable case in which NAFTA </w:t>
      </w:r>
      <w:r>
        <w:rPr>
          <w:i/>
          <w:iCs/>
        </w:rPr>
        <w:t>created</w:t>
      </w:r>
      <w:r>
        <w:t xml:space="preserve"> economic incentives that subsequently kept Mexico labor rich.</w:t>
      </w:r>
    </w:p>
    <w:p w14:paraId="398AFD90" w14:textId="47F6EE5D" w:rsidR="007221C4" w:rsidRDefault="000449A7" w:rsidP="00B70BEE">
      <w:pPr>
        <w:spacing w:line="480" w:lineRule="auto"/>
        <w:ind w:firstLine="720"/>
      </w:pPr>
      <w:r>
        <w:t xml:space="preserve">The data in </w:t>
      </w:r>
      <w:r w:rsidR="00B54494">
        <w:t>T</w:t>
      </w:r>
      <w:r>
        <w:t>able 4 shows the number of</w:t>
      </w:r>
      <w:r w:rsidR="00B54494">
        <w:t xml:space="preserve"> Mexican</w:t>
      </w:r>
      <w:r>
        <w:t xml:space="preserve"> workers employed in agriculture and manufacturing. The average wages are measured in the local currency of </w:t>
      </w:r>
      <w:r w:rsidR="00095E91">
        <w:t>p</w:t>
      </w:r>
      <w:r>
        <w:t>esos</w:t>
      </w:r>
      <w:r w:rsidR="0084564C">
        <w:t>.</w:t>
      </w:r>
    </w:p>
    <w:tbl>
      <w:tblPr>
        <w:tblW w:w="12526" w:type="dxa"/>
        <w:tblInd w:w="-905" w:type="dxa"/>
        <w:tblLayout w:type="fixed"/>
        <w:tblLook w:val="04A0" w:firstRow="1" w:lastRow="0" w:firstColumn="1" w:lastColumn="0" w:noHBand="0" w:noVBand="1"/>
      </w:tblPr>
      <w:tblGrid>
        <w:gridCol w:w="900"/>
        <w:gridCol w:w="1170"/>
        <w:gridCol w:w="1710"/>
        <w:gridCol w:w="1530"/>
        <w:gridCol w:w="1260"/>
        <w:gridCol w:w="1260"/>
        <w:gridCol w:w="1397"/>
        <w:gridCol w:w="1150"/>
        <w:gridCol w:w="1233"/>
        <w:gridCol w:w="916"/>
      </w:tblGrid>
      <w:tr w:rsidR="00490243" w:rsidRPr="00AC157F" w14:paraId="7694A791" w14:textId="77777777" w:rsidTr="00DC5878">
        <w:trPr>
          <w:gridAfter w:val="1"/>
          <w:wAfter w:w="916" w:type="dxa"/>
          <w:trHeight w:val="489"/>
        </w:trPr>
        <w:tc>
          <w:tcPr>
            <w:tcW w:w="900" w:type="dxa"/>
            <w:tcBorders>
              <w:bottom w:val="single" w:sz="4" w:space="0" w:color="auto"/>
            </w:tcBorders>
            <w:shd w:val="clear" w:color="auto" w:fill="auto"/>
            <w:noWrap/>
            <w:vAlign w:val="center"/>
            <w:hideMark/>
          </w:tcPr>
          <w:p w14:paraId="62F83496" w14:textId="2AA710DE" w:rsidR="00AC157F" w:rsidRPr="00570E30" w:rsidRDefault="00AC157F" w:rsidP="00AC157F">
            <w:pPr>
              <w:spacing w:after="0" w:line="240" w:lineRule="auto"/>
              <w:rPr>
                <w:rFonts w:ascii="Calibri" w:eastAsia="Times New Roman" w:hAnsi="Calibri" w:cs="Calibri"/>
                <w:color w:val="000000"/>
                <w:sz w:val="22"/>
              </w:rPr>
            </w:pPr>
            <w:r w:rsidRPr="00570E30">
              <w:rPr>
                <w:rFonts w:ascii="Calibri" w:eastAsia="Times New Roman" w:hAnsi="Calibri" w:cs="Calibri"/>
                <w:color w:val="000000"/>
                <w:sz w:val="22"/>
              </w:rPr>
              <w:lastRenderedPageBreak/>
              <w:t xml:space="preserve">Table </w:t>
            </w:r>
            <w:r w:rsidR="00FB3570">
              <w:rPr>
                <w:rFonts w:ascii="Calibri" w:eastAsia="Times New Roman" w:hAnsi="Calibri" w:cs="Calibri"/>
                <w:color w:val="000000"/>
                <w:sz w:val="22"/>
              </w:rPr>
              <w:t>4</w:t>
            </w:r>
          </w:p>
        </w:tc>
        <w:tc>
          <w:tcPr>
            <w:tcW w:w="10710" w:type="dxa"/>
            <w:gridSpan w:val="8"/>
            <w:tcBorders>
              <w:bottom w:val="single" w:sz="4" w:space="0" w:color="auto"/>
            </w:tcBorders>
            <w:shd w:val="clear" w:color="auto" w:fill="auto"/>
            <w:noWrap/>
            <w:vAlign w:val="center"/>
            <w:hideMark/>
          </w:tcPr>
          <w:p w14:paraId="67064512" w14:textId="6A1E072E" w:rsidR="00AC157F" w:rsidRPr="00FB3570" w:rsidRDefault="00AC157F" w:rsidP="00AC157F">
            <w:pPr>
              <w:spacing w:after="0" w:line="240" w:lineRule="auto"/>
              <w:jc w:val="center"/>
              <w:rPr>
                <w:rFonts w:ascii="Calibri" w:eastAsia="Times New Roman" w:hAnsi="Calibri" w:cs="Calibri"/>
                <w:b/>
                <w:bCs/>
                <w:color w:val="000000"/>
                <w:sz w:val="22"/>
              </w:rPr>
            </w:pPr>
            <w:r w:rsidRPr="00FB3570">
              <w:rPr>
                <w:rFonts w:ascii="Calibri" w:eastAsia="Times New Roman" w:hAnsi="Calibri" w:cs="Calibri"/>
                <w:b/>
                <w:bCs/>
                <w:color w:val="000000"/>
                <w:sz w:val="22"/>
              </w:rPr>
              <w:t xml:space="preserve">Mexican Employment </w:t>
            </w:r>
            <w:r w:rsidR="00617EF4" w:rsidRPr="00FB3570">
              <w:rPr>
                <w:rFonts w:ascii="Calibri" w:eastAsia="Times New Roman" w:hAnsi="Calibri" w:cs="Calibri"/>
                <w:b/>
                <w:bCs/>
                <w:color w:val="000000"/>
                <w:sz w:val="22"/>
              </w:rPr>
              <w:t>b</w:t>
            </w:r>
            <w:r w:rsidRPr="00FB3570">
              <w:rPr>
                <w:rFonts w:ascii="Calibri" w:eastAsia="Times New Roman" w:hAnsi="Calibri" w:cs="Calibri"/>
                <w:b/>
                <w:bCs/>
                <w:color w:val="000000"/>
                <w:sz w:val="22"/>
              </w:rPr>
              <w:t>y Sector, Average Wages</w:t>
            </w:r>
          </w:p>
        </w:tc>
      </w:tr>
      <w:tr w:rsidR="00490243" w:rsidRPr="00AC157F" w14:paraId="458B71D0" w14:textId="77777777" w:rsidTr="00DC5878">
        <w:trPr>
          <w:gridAfter w:val="1"/>
          <w:wAfter w:w="916" w:type="dxa"/>
          <w:trHeight w:val="476"/>
        </w:trPr>
        <w:tc>
          <w:tcPr>
            <w:tcW w:w="6570" w:type="dxa"/>
            <w:gridSpan w:val="5"/>
            <w:vMerge w:val="restart"/>
            <w:tcBorders>
              <w:top w:val="single" w:sz="4" w:space="0" w:color="auto"/>
              <w:bottom w:val="single" w:sz="4" w:space="0" w:color="auto"/>
              <w:right w:val="single" w:sz="4" w:space="0" w:color="auto"/>
            </w:tcBorders>
            <w:shd w:val="clear" w:color="auto" w:fill="auto"/>
            <w:noWrap/>
            <w:vAlign w:val="center"/>
            <w:hideMark/>
          </w:tcPr>
          <w:p w14:paraId="3FED5252" w14:textId="77777777" w:rsidR="00AC157F" w:rsidRPr="00AC157F" w:rsidRDefault="00AC157F" w:rsidP="00AC157F">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Agriculture</w:t>
            </w:r>
          </w:p>
        </w:tc>
        <w:tc>
          <w:tcPr>
            <w:tcW w:w="5040" w:type="dxa"/>
            <w:gridSpan w:val="4"/>
            <w:vMerge w:val="restart"/>
            <w:tcBorders>
              <w:top w:val="single" w:sz="4" w:space="0" w:color="auto"/>
              <w:left w:val="single" w:sz="4" w:space="0" w:color="auto"/>
            </w:tcBorders>
            <w:shd w:val="clear" w:color="auto" w:fill="auto"/>
            <w:noWrap/>
            <w:vAlign w:val="center"/>
            <w:hideMark/>
          </w:tcPr>
          <w:p w14:paraId="0E7BFC51" w14:textId="77777777" w:rsidR="00AC157F" w:rsidRPr="00AC157F" w:rsidRDefault="00AC157F" w:rsidP="00AC157F">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Manufacturing</w:t>
            </w:r>
          </w:p>
        </w:tc>
      </w:tr>
      <w:tr w:rsidR="00AC157F" w:rsidRPr="00AC157F" w14:paraId="1B5268B8" w14:textId="77777777" w:rsidTr="00D0353D">
        <w:trPr>
          <w:trHeight w:val="326"/>
        </w:trPr>
        <w:tc>
          <w:tcPr>
            <w:tcW w:w="6570" w:type="dxa"/>
            <w:gridSpan w:val="5"/>
            <w:vMerge/>
            <w:tcBorders>
              <w:bottom w:val="single" w:sz="4" w:space="0" w:color="auto"/>
              <w:right w:val="single" w:sz="4" w:space="0" w:color="auto"/>
            </w:tcBorders>
            <w:vAlign w:val="center"/>
            <w:hideMark/>
          </w:tcPr>
          <w:p w14:paraId="119A0FDB" w14:textId="77777777" w:rsidR="00AC157F" w:rsidRPr="00AC157F" w:rsidRDefault="00AC157F" w:rsidP="00AC157F">
            <w:pPr>
              <w:spacing w:after="0" w:line="240" w:lineRule="auto"/>
              <w:rPr>
                <w:rFonts w:ascii="Calibri" w:eastAsia="Times New Roman" w:hAnsi="Calibri" w:cs="Calibri"/>
                <w:color w:val="000000"/>
                <w:sz w:val="22"/>
              </w:rPr>
            </w:pPr>
          </w:p>
        </w:tc>
        <w:tc>
          <w:tcPr>
            <w:tcW w:w="5040" w:type="dxa"/>
            <w:gridSpan w:val="4"/>
            <w:vMerge/>
            <w:tcBorders>
              <w:left w:val="single" w:sz="4" w:space="0" w:color="auto"/>
              <w:bottom w:val="single" w:sz="4" w:space="0" w:color="auto"/>
            </w:tcBorders>
            <w:vAlign w:val="center"/>
            <w:hideMark/>
          </w:tcPr>
          <w:p w14:paraId="5E5F0F7C" w14:textId="77777777" w:rsidR="00AC157F" w:rsidRPr="00AC157F" w:rsidRDefault="00AC157F" w:rsidP="00AC157F">
            <w:pPr>
              <w:spacing w:after="0" w:line="240" w:lineRule="auto"/>
              <w:rPr>
                <w:rFonts w:ascii="Calibri" w:eastAsia="Times New Roman" w:hAnsi="Calibri" w:cs="Calibri"/>
                <w:color w:val="000000"/>
                <w:sz w:val="22"/>
              </w:rPr>
            </w:pPr>
          </w:p>
        </w:tc>
        <w:tc>
          <w:tcPr>
            <w:tcW w:w="916" w:type="dxa"/>
            <w:shd w:val="clear" w:color="auto" w:fill="auto"/>
            <w:noWrap/>
            <w:vAlign w:val="bottom"/>
            <w:hideMark/>
          </w:tcPr>
          <w:p w14:paraId="7FE1FA75" w14:textId="77777777" w:rsidR="00AC157F" w:rsidRPr="00AC157F" w:rsidRDefault="00AC157F" w:rsidP="00AC157F">
            <w:pPr>
              <w:spacing w:after="0" w:line="240" w:lineRule="auto"/>
              <w:jc w:val="center"/>
              <w:rPr>
                <w:rFonts w:ascii="Calibri" w:eastAsia="Times New Roman" w:hAnsi="Calibri" w:cs="Calibri"/>
                <w:color w:val="000000"/>
                <w:sz w:val="22"/>
              </w:rPr>
            </w:pPr>
          </w:p>
        </w:tc>
      </w:tr>
      <w:tr w:rsidR="00AC157F" w:rsidRPr="00AC157F" w14:paraId="3D8EC6B9" w14:textId="77777777" w:rsidTr="00570E30">
        <w:trPr>
          <w:trHeight w:val="75"/>
        </w:trPr>
        <w:tc>
          <w:tcPr>
            <w:tcW w:w="900" w:type="dxa"/>
            <w:tcBorders>
              <w:top w:val="single" w:sz="4" w:space="0" w:color="auto"/>
              <w:bottom w:val="single" w:sz="4" w:space="0" w:color="auto"/>
            </w:tcBorders>
            <w:shd w:val="clear" w:color="auto" w:fill="auto"/>
            <w:noWrap/>
            <w:vAlign w:val="center"/>
            <w:hideMark/>
          </w:tcPr>
          <w:p w14:paraId="43882B64" w14:textId="77777777" w:rsidR="00AC157F" w:rsidRPr="00BF0928" w:rsidRDefault="00AC157F" w:rsidP="00AC157F">
            <w:pPr>
              <w:spacing w:after="0" w:line="240" w:lineRule="auto"/>
              <w:rPr>
                <w:rFonts w:ascii="Calibri" w:eastAsia="Times New Roman" w:hAnsi="Calibri" w:cs="Calibri"/>
                <w:color w:val="000000"/>
                <w:sz w:val="20"/>
                <w:szCs w:val="20"/>
              </w:rPr>
            </w:pPr>
            <w:r w:rsidRPr="00BF0928">
              <w:rPr>
                <w:rFonts w:ascii="Calibri" w:eastAsia="Times New Roman" w:hAnsi="Calibri" w:cs="Calibri"/>
                <w:color w:val="000000"/>
                <w:sz w:val="20"/>
                <w:szCs w:val="20"/>
              </w:rPr>
              <w:t>Year</w:t>
            </w:r>
          </w:p>
        </w:tc>
        <w:tc>
          <w:tcPr>
            <w:tcW w:w="1170" w:type="dxa"/>
            <w:tcBorders>
              <w:top w:val="single" w:sz="4" w:space="0" w:color="auto"/>
              <w:bottom w:val="single" w:sz="4" w:space="0" w:color="auto"/>
            </w:tcBorders>
            <w:shd w:val="clear" w:color="auto" w:fill="auto"/>
            <w:noWrap/>
            <w:vAlign w:val="center"/>
            <w:hideMark/>
          </w:tcPr>
          <w:p w14:paraId="59F57F48" w14:textId="77777777" w:rsidR="00AC157F" w:rsidRPr="00BF0928" w:rsidRDefault="00AC157F" w:rsidP="00AC157F">
            <w:pPr>
              <w:spacing w:after="0" w:line="240" w:lineRule="auto"/>
              <w:jc w:val="center"/>
              <w:rPr>
                <w:rFonts w:ascii="Calibri" w:eastAsia="Times New Roman" w:hAnsi="Calibri" w:cs="Calibri"/>
                <w:color w:val="000000"/>
                <w:sz w:val="20"/>
                <w:szCs w:val="20"/>
              </w:rPr>
            </w:pPr>
            <w:r w:rsidRPr="00BF0928">
              <w:rPr>
                <w:rFonts w:ascii="Calibri" w:eastAsia="Times New Roman" w:hAnsi="Calibri" w:cs="Calibri"/>
                <w:color w:val="000000"/>
                <w:sz w:val="20"/>
                <w:szCs w:val="20"/>
              </w:rPr>
              <w:t>Workforce</w:t>
            </w:r>
          </w:p>
        </w:tc>
        <w:tc>
          <w:tcPr>
            <w:tcW w:w="1710" w:type="dxa"/>
            <w:tcBorders>
              <w:top w:val="single" w:sz="4" w:space="0" w:color="auto"/>
              <w:bottom w:val="single" w:sz="4" w:space="0" w:color="auto"/>
            </w:tcBorders>
            <w:shd w:val="clear" w:color="auto" w:fill="auto"/>
            <w:noWrap/>
            <w:vAlign w:val="center"/>
            <w:hideMark/>
          </w:tcPr>
          <w:p w14:paraId="3A20D2D6" w14:textId="77777777" w:rsidR="00AC157F" w:rsidRPr="00BF0928" w:rsidRDefault="00AC157F" w:rsidP="00AC157F">
            <w:pPr>
              <w:spacing w:after="0" w:line="240" w:lineRule="auto"/>
              <w:jc w:val="right"/>
              <w:rPr>
                <w:rFonts w:ascii="Calibri" w:eastAsia="Times New Roman" w:hAnsi="Calibri" w:cs="Calibri"/>
                <w:color w:val="000000"/>
                <w:sz w:val="20"/>
                <w:szCs w:val="20"/>
              </w:rPr>
            </w:pPr>
            <w:r w:rsidRPr="00BF0928">
              <w:rPr>
                <w:rFonts w:ascii="Calibri" w:eastAsia="Times New Roman" w:hAnsi="Calibri" w:cs="Calibri"/>
                <w:color w:val="000000"/>
                <w:sz w:val="20"/>
                <w:szCs w:val="20"/>
              </w:rPr>
              <w:t>Average Monthly Wages (MX)</w:t>
            </w:r>
          </w:p>
        </w:tc>
        <w:tc>
          <w:tcPr>
            <w:tcW w:w="1530" w:type="dxa"/>
            <w:tcBorders>
              <w:top w:val="single" w:sz="4" w:space="0" w:color="auto"/>
              <w:bottom w:val="single" w:sz="4" w:space="0" w:color="auto"/>
            </w:tcBorders>
            <w:shd w:val="clear" w:color="auto" w:fill="auto"/>
            <w:vAlign w:val="center"/>
            <w:hideMark/>
          </w:tcPr>
          <w:p w14:paraId="184521E1" w14:textId="082CE6D5" w:rsidR="00AC157F" w:rsidRPr="00BF0928" w:rsidRDefault="00824755" w:rsidP="00AC157F">
            <w:pPr>
              <w:spacing w:after="0" w:line="240" w:lineRule="auto"/>
              <w:jc w:val="center"/>
              <w:rPr>
                <w:rFonts w:ascii="Calibri" w:eastAsia="Times New Roman" w:hAnsi="Calibri" w:cs="Calibri"/>
                <w:color w:val="000000"/>
                <w:sz w:val="20"/>
                <w:szCs w:val="20"/>
              </w:rPr>
            </w:pPr>
            <w:r w:rsidRPr="00BF0928">
              <w:rPr>
                <w:rFonts w:ascii="Calibri" w:eastAsia="Times New Roman" w:hAnsi="Calibri" w:cs="Calibri"/>
                <w:color w:val="000000"/>
                <w:sz w:val="20"/>
                <w:szCs w:val="20"/>
              </w:rPr>
              <w:t>National</w:t>
            </w:r>
            <w:r w:rsidR="00AC157F" w:rsidRPr="00BF0928">
              <w:rPr>
                <w:rFonts w:ascii="Calibri" w:eastAsia="Times New Roman" w:hAnsi="Calibri" w:cs="Calibri"/>
                <w:color w:val="000000"/>
                <w:sz w:val="20"/>
                <w:szCs w:val="20"/>
              </w:rPr>
              <w:t xml:space="preserve"> Average Wage</w:t>
            </w:r>
            <w:r w:rsidR="00D66DC6" w:rsidRPr="00BF0928">
              <w:rPr>
                <w:rFonts w:ascii="Calibri" w:eastAsia="Times New Roman" w:hAnsi="Calibri" w:cs="Calibri"/>
                <w:color w:val="000000"/>
                <w:sz w:val="20"/>
                <w:szCs w:val="20"/>
              </w:rPr>
              <w:t xml:space="preserve"> Differential</w:t>
            </w:r>
            <w:r w:rsidR="00AC157F" w:rsidRPr="00BF0928">
              <w:rPr>
                <w:rFonts w:ascii="Calibri" w:eastAsia="Times New Roman" w:hAnsi="Calibri" w:cs="Calibri"/>
                <w:color w:val="000000"/>
                <w:sz w:val="20"/>
                <w:szCs w:val="20"/>
              </w:rPr>
              <w:t xml:space="preserve"> (MX)</w:t>
            </w:r>
          </w:p>
        </w:tc>
        <w:tc>
          <w:tcPr>
            <w:tcW w:w="1260" w:type="dxa"/>
            <w:tcBorders>
              <w:top w:val="single" w:sz="4" w:space="0" w:color="auto"/>
              <w:bottom w:val="single" w:sz="4" w:space="0" w:color="auto"/>
            </w:tcBorders>
            <w:shd w:val="clear" w:color="auto" w:fill="auto"/>
            <w:vAlign w:val="center"/>
            <w:hideMark/>
          </w:tcPr>
          <w:p w14:paraId="2F3168D1" w14:textId="00BD3818" w:rsidR="00AC157F" w:rsidRPr="00BF0928" w:rsidRDefault="00AC157F" w:rsidP="00AC157F">
            <w:pPr>
              <w:spacing w:after="0" w:line="240" w:lineRule="auto"/>
              <w:rPr>
                <w:rFonts w:ascii="Calibri" w:eastAsia="Times New Roman" w:hAnsi="Calibri" w:cs="Calibri"/>
                <w:color w:val="000000"/>
                <w:sz w:val="20"/>
                <w:szCs w:val="20"/>
              </w:rPr>
            </w:pPr>
            <w:r w:rsidRPr="00BF0928">
              <w:rPr>
                <w:rFonts w:ascii="Calibri" w:eastAsia="Times New Roman" w:hAnsi="Calibri" w:cs="Calibri"/>
                <w:color w:val="000000"/>
                <w:sz w:val="20"/>
                <w:szCs w:val="20"/>
              </w:rPr>
              <w:t>Total Workforce</w:t>
            </w:r>
            <w:r w:rsidR="002A2D8B" w:rsidRPr="00BF0928">
              <w:rPr>
                <w:rFonts w:ascii="Calibri" w:eastAsia="Times New Roman" w:hAnsi="Calibri" w:cs="Calibri"/>
                <w:color w:val="000000"/>
                <w:sz w:val="20"/>
                <w:szCs w:val="20"/>
              </w:rPr>
              <w:t xml:space="preserve"> (%)</w:t>
            </w:r>
          </w:p>
        </w:tc>
        <w:tc>
          <w:tcPr>
            <w:tcW w:w="1260" w:type="dxa"/>
            <w:tcBorders>
              <w:top w:val="single" w:sz="4" w:space="0" w:color="auto"/>
              <w:bottom w:val="single" w:sz="4" w:space="0" w:color="auto"/>
            </w:tcBorders>
            <w:shd w:val="clear" w:color="auto" w:fill="auto"/>
            <w:noWrap/>
            <w:vAlign w:val="center"/>
            <w:hideMark/>
          </w:tcPr>
          <w:p w14:paraId="158ED69F" w14:textId="77777777" w:rsidR="00AC157F" w:rsidRPr="00BF0928" w:rsidRDefault="00AC157F" w:rsidP="00AC157F">
            <w:pPr>
              <w:spacing w:after="0" w:line="240" w:lineRule="auto"/>
              <w:jc w:val="center"/>
              <w:rPr>
                <w:rFonts w:ascii="Calibri" w:eastAsia="Times New Roman" w:hAnsi="Calibri" w:cs="Calibri"/>
                <w:color w:val="000000"/>
                <w:sz w:val="20"/>
                <w:szCs w:val="20"/>
              </w:rPr>
            </w:pPr>
            <w:r w:rsidRPr="00BF0928">
              <w:rPr>
                <w:rFonts w:ascii="Calibri" w:eastAsia="Times New Roman" w:hAnsi="Calibri" w:cs="Calibri"/>
                <w:color w:val="000000"/>
                <w:sz w:val="20"/>
                <w:szCs w:val="20"/>
              </w:rPr>
              <w:t>Workforce</w:t>
            </w:r>
          </w:p>
        </w:tc>
        <w:tc>
          <w:tcPr>
            <w:tcW w:w="1397" w:type="dxa"/>
            <w:tcBorders>
              <w:top w:val="single" w:sz="4" w:space="0" w:color="auto"/>
              <w:bottom w:val="single" w:sz="4" w:space="0" w:color="auto"/>
            </w:tcBorders>
            <w:shd w:val="clear" w:color="auto" w:fill="auto"/>
            <w:noWrap/>
            <w:vAlign w:val="center"/>
            <w:hideMark/>
          </w:tcPr>
          <w:p w14:paraId="23CC4A2F" w14:textId="77777777" w:rsidR="00AC157F" w:rsidRPr="00BF0928" w:rsidRDefault="00AC157F" w:rsidP="00AC157F">
            <w:pPr>
              <w:spacing w:after="0" w:line="240" w:lineRule="auto"/>
              <w:jc w:val="center"/>
              <w:rPr>
                <w:rFonts w:ascii="Calibri" w:eastAsia="Times New Roman" w:hAnsi="Calibri" w:cs="Calibri"/>
                <w:color w:val="000000"/>
                <w:sz w:val="20"/>
                <w:szCs w:val="20"/>
              </w:rPr>
            </w:pPr>
            <w:r w:rsidRPr="00BF0928">
              <w:rPr>
                <w:rFonts w:ascii="Calibri" w:eastAsia="Times New Roman" w:hAnsi="Calibri" w:cs="Calibri"/>
                <w:color w:val="000000"/>
                <w:sz w:val="20"/>
                <w:szCs w:val="20"/>
              </w:rPr>
              <w:t>Average Monthly Wages (MX)</w:t>
            </w:r>
          </w:p>
        </w:tc>
        <w:tc>
          <w:tcPr>
            <w:tcW w:w="1150" w:type="dxa"/>
            <w:tcBorders>
              <w:top w:val="single" w:sz="4" w:space="0" w:color="auto"/>
              <w:bottom w:val="single" w:sz="4" w:space="0" w:color="auto"/>
            </w:tcBorders>
            <w:shd w:val="clear" w:color="auto" w:fill="auto"/>
            <w:vAlign w:val="center"/>
            <w:hideMark/>
          </w:tcPr>
          <w:p w14:paraId="6F46BE4B" w14:textId="501CF200" w:rsidR="00AC157F" w:rsidRPr="00BF0928" w:rsidRDefault="00824755" w:rsidP="00AC157F">
            <w:pPr>
              <w:spacing w:after="0" w:line="240" w:lineRule="auto"/>
              <w:jc w:val="center"/>
              <w:rPr>
                <w:rFonts w:ascii="Calibri" w:eastAsia="Times New Roman" w:hAnsi="Calibri" w:cs="Calibri"/>
                <w:color w:val="000000"/>
                <w:sz w:val="20"/>
                <w:szCs w:val="20"/>
              </w:rPr>
            </w:pPr>
            <w:r w:rsidRPr="00BF0928">
              <w:rPr>
                <w:rFonts w:ascii="Calibri" w:eastAsia="Times New Roman" w:hAnsi="Calibri" w:cs="Calibri"/>
                <w:color w:val="000000"/>
                <w:sz w:val="20"/>
                <w:szCs w:val="20"/>
              </w:rPr>
              <w:t>Nation</w:t>
            </w:r>
            <w:r w:rsidR="00AC157F" w:rsidRPr="00BF0928">
              <w:rPr>
                <w:rFonts w:ascii="Calibri" w:eastAsia="Times New Roman" w:hAnsi="Calibri" w:cs="Calibri"/>
                <w:color w:val="000000"/>
                <w:sz w:val="20"/>
                <w:szCs w:val="20"/>
              </w:rPr>
              <w:t xml:space="preserve">al Average </w:t>
            </w:r>
            <w:r w:rsidR="004D53C4" w:rsidRPr="00BF0928">
              <w:rPr>
                <w:rFonts w:ascii="Calibri" w:eastAsia="Times New Roman" w:hAnsi="Calibri" w:cs="Calibri"/>
                <w:color w:val="000000"/>
                <w:sz w:val="20"/>
                <w:szCs w:val="20"/>
              </w:rPr>
              <w:t>Wage</w:t>
            </w:r>
            <w:r w:rsidRPr="00BF0928">
              <w:rPr>
                <w:rFonts w:ascii="Calibri" w:eastAsia="Times New Roman" w:hAnsi="Calibri" w:cs="Calibri"/>
                <w:color w:val="000000"/>
                <w:sz w:val="20"/>
                <w:szCs w:val="20"/>
              </w:rPr>
              <w:t xml:space="preserve"> </w:t>
            </w:r>
            <w:r w:rsidR="00D66DC6" w:rsidRPr="00BF0928">
              <w:rPr>
                <w:rFonts w:ascii="Calibri" w:eastAsia="Times New Roman" w:hAnsi="Calibri" w:cs="Calibri"/>
                <w:color w:val="000000"/>
                <w:sz w:val="20"/>
                <w:szCs w:val="20"/>
              </w:rPr>
              <w:t xml:space="preserve">Differential </w:t>
            </w:r>
            <w:r w:rsidR="00AC157F" w:rsidRPr="00BF0928">
              <w:rPr>
                <w:rFonts w:ascii="Calibri" w:eastAsia="Times New Roman" w:hAnsi="Calibri" w:cs="Calibri"/>
                <w:color w:val="000000"/>
                <w:sz w:val="20"/>
                <w:szCs w:val="20"/>
              </w:rPr>
              <w:t>(MX)</w:t>
            </w:r>
          </w:p>
        </w:tc>
        <w:tc>
          <w:tcPr>
            <w:tcW w:w="1233" w:type="dxa"/>
            <w:tcBorders>
              <w:top w:val="single" w:sz="4" w:space="0" w:color="auto"/>
              <w:bottom w:val="single" w:sz="4" w:space="0" w:color="auto"/>
            </w:tcBorders>
            <w:shd w:val="clear" w:color="auto" w:fill="auto"/>
            <w:vAlign w:val="center"/>
            <w:hideMark/>
          </w:tcPr>
          <w:p w14:paraId="07FF3F8E" w14:textId="687EFE0D" w:rsidR="00AC157F" w:rsidRPr="00BF0928" w:rsidRDefault="00AC157F" w:rsidP="00AC157F">
            <w:pPr>
              <w:spacing w:after="0" w:line="240" w:lineRule="auto"/>
              <w:rPr>
                <w:rFonts w:ascii="Calibri" w:eastAsia="Times New Roman" w:hAnsi="Calibri" w:cs="Calibri"/>
                <w:color w:val="000000"/>
                <w:sz w:val="20"/>
                <w:szCs w:val="20"/>
              </w:rPr>
            </w:pPr>
            <w:r w:rsidRPr="00BF0928">
              <w:rPr>
                <w:rFonts w:ascii="Calibri" w:eastAsia="Times New Roman" w:hAnsi="Calibri" w:cs="Calibri"/>
                <w:color w:val="000000"/>
                <w:sz w:val="20"/>
                <w:szCs w:val="20"/>
              </w:rPr>
              <w:t>Total Workforce</w:t>
            </w:r>
            <w:r w:rsidR="002A2D8B" w:rsidRPr="00BF0928">
              <w:rPr>
                <w:rFonts w:ascii="Calibri" w:eastAsia="Times New Roman" w:hAnsi="Calibri" w:cs="Calibri"/>
                <w:color w:val="000000"/>
                <w:sz w:val="20"/>
                <w:szCs w:val="20"/>
              </w:rPr>
              <w:t xml:space="preserve"> (%)</w:t>
            </w:r>
          </w:p>
        </w:tc>
        <w:tc>
          <w:tcPr>
            <w:tcW w:w="916" w:type="dxa"/>
            <w:vAlign w:val="center"/>
            <w:hideMark/>
          </w:tcPr>
          <w:p w14:paraId="6635EB3F"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5E6CE403" w14:textId="77777777" w:rsidTr="00467CF9">
        <w:trPr>
          <w:trHeight w:val="326"/>
        </w:trPr>
        <w:tc>
          <w:tcPr>
            <w:tcW w:w="900" w:type="dxa"/>
            <w:tcBorders>
              <w:top w:val="single" w:sz="4" w:space="0" w:color="auto"/>
            </w:tcBorders>
            <w:shd w:val="clear" w:color="auto" w:fill="auto"/>
            <w:noWrap/>
            <w:vAlign w:val="center"/>
            <w:hideMark/>
          </w:tcPr>
          <w:p w14:paraId="296A8432" w14:textId="6EA1436F"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2010*</w:t>
            </w:r>
          </w:p>
        </w:tc>
        <w:tc>
          <w:tcPr>
            <w:tcW w:w="1170" w:type="dxa"/>
            <w:tcBorders>
              <w:top w:val="single" w:sz="4" w:space="0" w:color="auto"/>
            </w:tcBorders>
            <w:shd w:val="clear" w:color="auto" w:fill="auto"/>
            <w:noWrap/>
            <w:vAlign w:val="center"/>
            <w:hideMark/>
          </w:tcPr>
          <w:p w14:paraId="765E3599" w14:textId="7FFEC7B5"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710" w:type="dxa"/>
            <w:tcBorders>
              <w:top w:val="single" w:sz="4" w:space="0" w:color="auto"/>
            </w:tcBorders>
            <w:shd w:val="clear" w:color="auto" w:fill="auto"/>
            <w:noWrap/>
            <w:vAlign w:val="center"/>
            <w:hideMark/>
          </w:tcPr>
          <w:p w14:paraId="173B1AB5"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530" w:type="dxa"/>
            <w:tcBorders>
              <w:top w:val="single" w:sz="4" w:space="0" w:color="auto"/>
            </w:tcBorders>
            <w:shd w:val="clear" w:color="auto" w:fill="auto"/>
            <w:noWrap/>
            <w:vAlign w:val="center"/>
            <w:hideMark/>
          </w:tcPr>
          <w:p w14:paraId="517C496D"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260" w:type="dxa"/>
            <w:tcBorders>
              <w:top w:val="single" w:sz="4" w:space="0" w:color="auto"/>
            </w:tcBorders>
            <w:shd w:val="clear" w:color="auto" w:fill="auto"/>
            <w:noWrap/>
            <w:vAlign w:val="center"/>
            <w:hideMark/>
          </w:tcPr>
          <w:p w14:paraId="2819B2DD"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260" w:type="dxa"/>
            <w:tcBorders>
              <w:top w:val="single" w:sz="4" w:space="0" w:color="auto"/>
            </w:tcBorders>
            <w:shd w:val="clear" w:color="auto" w:fill="auto"/>
            <w:noWrap/>
            <w:vAlign w:val="center"/>
            <w:hideMark/>
          </w:tcPr>
          <w:p w14:paraId="7CEFA112" w14:textId="7DE6CFA9"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7,085,997</w:t>
            </w:r>
          </w:p>
        </w:tc>
        <w:tc>
          <w:tcPr>
            <w:tcW w:w="1397" w:type="dxa"/>
            <w:tcBorders>
              <w:top w:val="single" w:sz="4" w:space="0" w:color="auto"/>
            </w:tcBorders>
            <w:shd w:val="clear" w:color="auto" w:fill="auto"/>
            <w:noWrap/>
            <w:vAlign w:val="center"/>
            <w:hideMark/>
          </w:tcPr>
          <w:p w14:paraId="1003391C" w14:textId="3375E880"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3,642.19</w:t>
            </w:r>
          </w:p>
        </w:tc>
        <w:tc>
          <w:tcPr>
            <w:tcW w:w="1150" w:type="dxa"/>
            <w:tcBorders>
              <w:top w:val="single" w:sz="4" w:space="0" w:color="auto"/>
            </w:tcBorders>
            <w:shd w:val="clear" w:color="auto" w:fill="auto"/>
            <w:noWrap/>
            <w:vAlign w:val="center"/>
            <w:hideMark/>
          </w:tcPr>
          <w:p w14:paraId="66B2AD87" w14:textId="616B9F6F"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32.08</w:t>
            </w:r>
          </w:p>
        </w:tc>
        <w:tc>
          <w:tcPr>
            <w:tcW w:w="1233" w:type="dxa"/>
            <w:tcBorders>
              <w:top w:val="single" w:sz="4" w:space="0" w:color="auto"/>
            </w:tcBorders>
            <w:shd w:val="clear" w:color="auto" w:fill="auto"/>
            <w:noWrap/>
            <w:vAlign w:val="center"/>
            <w:hideMark/>
          </w:tcPr>
          <w:p w14:paraId="6FB80362" w14:textId="78D05AE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15.36</w:t>
            </w:r>
          </w:p>
        </w:tc>
        <w:tc>
          <w:tcPr>
            <w:tcW w:w="916" w:type="dxa"/>
            <w:vAlign w:val="center"/>
            <w:hideMark/>
          </w:tcPr>
          <w:p w14:paraId="0166C3A9"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38344256" w14:textId="77777777" w:rsidTr="00467CF9">
        <w:trPr>
          <w:trHeight w:val="326"/>
        </w:trPr>
        <w:tc>
          <w:tcPr>
            <w:tcW w:w="900" w:type="dxa"/>
            <w:shd w:val="clear" w:color="auto" w:fill="auto"/>
            <w:noWrap/>
            <w:vAlign w:val="center"/>
            <w:hideMark/>
          </w:tcPr>
          <w:p w14:paraId="12743B15" w14:textId="3BA4F75B"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2011*</w:t>
            </w:r>
          </w:p>
        </w:tc>
        <w:tc>
          <w:tcPr>
            <w:tcW w:w="1170" w:type="dxa"/>
            <w:shd w:val="clear" w:color="auto" w:fill="auto"/>
            <w:noWrap/>
            <w:vAlign w:val="center"/>
            <w:hideMark/>
          </w:tcPr>
          <w:p w14:paraId="100B5A77" w14:textId="5BE31C8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710" w:type="dxa"/>
            <w:shd w:val="clear" w:color="auto" w:fill="auto"/>
            <w:noWrap/>
            <w:vAlign w:val="center"/>
            <w:hideMark/>
          </w:tcPr>
          <w:p w14:paraId="1E9A45CC"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530" w:type="dxa"/>
            <w:shd w:val="clear" w:color="auto" w:fill="auto"/>
            <w:noWrap/>
            <w:vAlign w:val="center"/>
            <w:hideMark/>
          </w:tcPr>
          <w:p w14:paraId="1F74704A"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260" w:type="dxa"/>
            <w:shd w:val="clear" w:color="auto" w:fill="auto"/>
            <w:noWrap/>
            <w:vAlign w:val="center"/>
            <w:hideMark/>
          </w:tcPr>
          <w:p w14:paraId="51047DCE"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260" w:type="dxa"/>
            <w:shd w:val="clear" w:color="auto" w:fill="auto"/>
            <w:noWrap/>
            <w:vAlign w:val="center"/>
            <w:hideMark/>
          </w:tcPr>
          <w:p w14:paraId="345B2725" w14:textId="041688D8"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7,212,161</w:t>
            </w:r>
          </w:p>
        </w:tc>
        <w:tc>
          <w:tcPr>
            <w:tcW w:w="1397" w:type="dxa"/>
            <w:shd w:val="clear" w:color="auto" w:fill="auto"/>
            <w:noWrap/>
            <w:vAlign w:val="center"/>
            <w:hideMark/>
          </w:tcPr>
          <w:p w14:paraId="27F99215" w14:textId="4D65485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3,675.32</w:t>
            </w:r>
          </w:p>
        </w:tc>
        <w:tc>
          <w:tcPr>
            <w:tcW w:w="1150" w:type="dxa"/>
            <w:shd w:val="clear" w:color="auto" w:fill="auto"/>
            <w:noWrap/>
            <w:vAlign w:val="center"/>
            <w:hideMark/>
          </w:tcPr>
          <w:p w14:paraId="2C65E8BA" w14:textId="6759219E"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97.12</w:t>
            </w:r>
          </w:p>
        </w:tc>
        <w:tc>
          <w:tcPr>
            <w:tcW w:w="1233" w:type="dxa"/>
            <w:shd w:val="clear" w:color="auto" w:fill="auto"/>
            <w:noWrap/>
            <w:vAlign w:val="center"/>
            <w:hideMark/>
          </w:tcPr>
          <w:p w14:paraId="5C9DEAC8" w14:textId="6C3B901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15.30</w:t>
            </w:r>
          </w:p>
        </w:tc>
        <w:tc>
          <w:tcPr>
            <w:tcW w:w="916" w:type="dxa"/>
            <w:vAlign w:val="center"/>
            <w:hideMark/>
          </w:tcPr>
          <w:p w14:paraId="3144D1E0"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0F9E377A" w14:textId="77777777" w:rsidTr="00467CF9">
        <w:trPr>
          <w:trHeight w:val="326"/>
        </w:trPr>
        <w:tc>
          <w:tcPr>
            <w:tcW w:w="900" w:type="dxa"/>
            <w:shd w:val="clear" w:color="auto" w:fill="auto"/>
            <w:noWrap/>
            <w:vAlign w:val="center"/>
            <w:hideMark/>
          </w:tcPr>
          <w:p w14:paraId="47E1AD6A" w14:textId="42B2259E"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2012*</w:t>
            </w:r>
          </w:p>
        </w:tc>
        <w:tc>
          <w:tcPr>
            <w:tcW w:w="1170" w:type="dxa"/>
            <w:shd w:val="clear" w:color="auto" w:fill="auto"/>
            <w:noWrap/>
            <w:vAlign w:val="center"/>
            <w:hideMark/>
          </w:tcPr>
          <w:p w14:paraId="37C6A2FC" w14:textId="7982BDDA"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710" w:type="dxa"/>
            <w:shd w:val="clear" w:color="auto" w:fill="auto"/>
            <w:noWrap/>
            <w:vAlign w:val="center"/>
            <w:hideMark/>
          </w:tcPr>
          <w:p w14:paraId="5A677177"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530" w:type="dxa"/>
            <w:shd w:val="clear" w:color="auto" w:fill="auto"/>
            <w:noWrap/>
            <w:vAlign w:val="center"/>
            <w:hideMark/>
          </w:tcPr>
          <w:p w14:paraId="4D78CCDA"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260" w:type="dxa"/>
            <w:shd w:val="clear" w:color="auto" w:fill="auto"/>
            <w:noWrap/>
            <w:vAlign w:val="center"/>
            <w:hideMark/>
          </w:tcPr>
          <w:p w14:paraId="2E57B33E" w14:textId="7777777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w:t>
            </w:r>
          </w:p>
        </w:tc>
        <w:tc>
          <w:tcPr>
            <w:tcW w:w="1260" w:type="dxa"/>
            <w:shd w:val="clear" w:color="auto" w:fill="auto"/>
            <w:noWrap/>
            <w:vAlign w:val="center"/>
            <w:hideMark/>
          </w:tcPr>
          <w:p w14:paraId="75842883" w14:textId="323EDF10"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7,442,989</w:t>
            </w:r>
          </w:p>
        </w:tc>
        <w:tc>
          <w:tcPr>
            <w:tcW w:w="1397" w:type="dxa"/>
            <w:shd w:val="clear" w:color="auto" w:fill="auto"/>
            <w:noWrap/>
            <w:vAlign w:val="center"/>
            <w:hideMark/>
          </w:tcPr>
          <w:p w14:paraId="6A13255E" w14:textId="4194591E"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3,787.74</w:t>
            </w:r>
          </w:p>
        </w:tc>
        <w:tc>
          <w:tcPr>
            <w:tcW w:w="1150" w:type="dxa"/>
            <w:shd w:val="clear" w:color="auto" w:fill="auto"/>
            <w:noWrap/>
            <w:vAlign w:val="center"/>
            <w:hideMark/>
          </w:tcPr>
          <w:p w14:paraId="7B8D8A0B" w14:textId="4F32B511"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127.59</w:t>
            </w:r>
          </w:p>
        </w:tc>
        <w:tc>
          <w:tcPr>
            <w:tcW w:w="1233" w:type="dxa"/>
            <w:shd w:val="clear" w:color="auto" w:fill="auto"/>
            <w:noWrap/>
            <w:vAlign w:val="center"/>
            <w:hideMark/>
          </w:tcPr>
          <w:p w14:paraId="7FF5D4B5" w14:textId="44133265"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15.28</w:t>
            </w:r>
          </w:p>
        </w:tc>
        <w:tc>
          <w:tcPr>
            <w:tcW w:w="916" w:type="dxa"/>
            <w:vAlign w:val="center"/>
            <w:hideMark/>
          </w:tcPr>
          <w:p w14:paraId="14EE28C1"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344D6841" w14:textId="77777777" w:rsidTr="00467CF9">
        <w:trPr>
          <w:trHeight w:val="326"/>
        </w:trPr>
        <w:tc>
          <w:tcPr>
            <w:tcW w:w="900" w:type="dxa"/>
            <w:shd w:val="clear" w:color="auto" w:fill="auto"/>
            <w:noWrap/>
            <w:vAlign w:val="center"/>
            <w:hideMark/>
          </w:tcPr>
          <w:p w14:paraId="43C3021C"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2013</w:t>
            </w:r>
          </w:p>
        </w:tc>
        <w:tc>
          <w:tcPr>
            <w:tcW w:w="1170" w:type="dxa"/>
            <w:shd w:val="clear" w:color="auto" w:fill="auto"/>
            <w:noWrap/>
            <w:vAlign w:val="center"/>
            <w:hideMark/>
          </w:tcPr>
          <w:p w14:paraId="2B34CE41" w14:textId="6E805B13"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3,085,036</w:t>
            </w:r>
          </w:p>
        </w:tc>
        <w:tc>
          <w:tcPr>
            <w:tcW w:w="1710" w:type="dxa"/>
            <w:shd w:val="clear" w:color="auto" w:fill="auto"/>
            <w:noWrap/>
            <w:vAlign w:val="center"/>
            <w:hideMark/>
          </w:tcPr>
          <w:p w14:paraId="23D9648A" w14:textId="75B14BDD"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1,211.30</w:t>
            </w:r>
          </w:p>
        </w:tc>
        <w:tc>
          <w:tcPr>
            <w:tcW w:w="1530" w:type="dxa"/>
            <w:shd w:val="clear" w:color="auto" w:fill="auto"/>
            <w:noWrap/>
            <w:vAlign w:val="center"/>
            <w:hideMark/>
          </w:tcPr>
          <w:p w14:paraId="65F2BC33" w14:textId="16D90B26"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-2,466.10</w:t>
            </w:r>
          </w:p>
        </w:tc>
        <w:tc>
          <w:tcPr>
            <w:tcW w:w="1260" w:type="dxa"/>
            <w:shd w:val="clear" w:color="auto" w:fill="auto"/>
            <w:noWrap/>
            <w:vAlign w:val="center"/>
            <w:hideMark/>
          </w:tcPr>
          <w:p w14:paraId="2C2AE7F7" w14:textId="1F8D636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6.27</w:t>
            </w:r>
          </w:p>
        </w:tc>
        <w:tc>
          <w:tcPr>
            <w:tcW w:w="1260" w:type="dxa"/>
            <w:shd w:val="clear" w:color="auto" w:fill="auto"/>
            <w:noWrap/>
            <w:vAlign w:val="center"/>
            <w:hideMark/>
          </w:tcPr>
          <w:p w14:paraId="0511B6BE" w14:textId="33FF512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7,710,812</w:t>
            </w:r>
          </w:p>
        </w:tc>
        <w:tc>
          <w:tcPr>
            <w:tcW w:w="1397" w:type="dxa"/>
            <w:shd w:val="clear" w:color="auto" w:fill="auto"/>
            <w:noWrap/>
            <w:vAlign w:val="center"/>
            <w:hideMark/>
          </w:tcPr>
          <w:p w14:paraId="139C397E" w14:textId="732B99E1"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3,855.51</w:t>
            </w:r>
          </w:p>
        </w:tc>
        <w:tc>
          <w:tcPr>
            <w:tcW w:w="1150" w:type="dxa"/>
            <w:shd w:val="clear" w:color="auto" w:fill="auto"/>
            <w:noWrap/>
            <w:vAlign w:val="center"/>
            <w:hideMark/>
          </w:tcPr>
          <w:p w14:paraId="6B565F87" w14:textId="2785B30D"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178.11</w:t>
            </w:r>
          </w:p>
        </w:tc>
        <w:tc>
          <w:tcPr>
            <w:tcW w:w="1233" w:type="dxa"/>
            <w:shd w:val="clear" w:color="auto" w:fill="auto"/>
            <w:noWrap/>
            <w:vAlign w:val="center"/>
            <w:hideMark/>
          </w:tcPr>
          <w:p w14:paraId="6B9BA631" w14:textId="2F813285"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15.66</w:t>
            </w:r>
          </w:p>
        </w:tc>
        <w:tc>
          <w:tcPr>
            <w:tcW w:w="916" w:type="dxa"/>
            <w:vAlign w:val="center"/>
            <w:hideMark/>
          </w:tcPr>
          <w:p w14:paraId="4D439239"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1EB08317" w14:textId="77777777" w:rsidTr="00467CF9">
        <w:trPr>
          <w:trHeight w:val="326"/>
        </w:trPr>
        <w:tc>
          <w:tcPr>
            <w:tcW w:w="900" w:type="dxa"/>
            <w:shd w:val="clear" w:color="auto" w:fill="auto"/>
            <w:noWrap/>
            <w:vAlign w:val="center"/>
            <w:hideMark/>
          </w:tcPr>
          <w:p w14:paraId="18A54D66"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2014</w:t>
            </w:r>
          </w:p>
        </w:tc>
        <w:tc>
          <w:tcPr>
            <w:tcW w:w="1170" w:type="dxa"/>
            <w:shd w:val="clear" w:color="auto" w:fill="auto"/>
            <w:noWrap/>
            <w:vAlign w:val="center"/>
            <w:hideMark/>
          </w:tcPr>
          <w:p w14:paraId="1896F5FC" w14:textId="66C6CDDC"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3,131,954</w:t>
            </w:r>
          </w:p>
        </w:tc>
        <w:tc>
          <w:tcPr>
            <w:tcW w:w="1710" w:type="dxa"/>
            <w:shd w:val="clear" w:color="auto" w:fill="auto"/>
            <w:noWrap/>
            <w:vAlign w:val="center"/>
            <w:hideMark/>
          </w:tcPr>
          <w:p w14:paraId="7267734D" w14:textId="2DB85938"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1,157.57</w:t>
            </w:r>
          </w:p>
        </w:tc>
        <w:tc>
          <w:tcPr>
            <w:tcW w:w="1530" w:type="dxa"/>
            <w:shd w:val="clear" w:color="auto" w:fill="auto"/>
            <w:noWrap/>
            <w:vAlign w:val="center"/>
            <w:hideMark/>
          </w:tcPr>
          <w:p w14:paraId="05BF3801" w14:textId="6D19EE5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-2,467.77</w:t>
            </w:r>
          </w:p>
        </w:tc>
        <w:tc>
          <w:tcPr>
            <w:tcW w:w="1260" w:type="dxa"/>
            <w:shd w:val="clear" w:color="auto" w:fill="auto"/>
            <w:noWrap/>
            <w:vAlign w:val="center"/>
            <w:hideMark/>
          </w:tcPr>
          <w:p w14:paraId="13D4288D" w14:textId="0E2A716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6.34</w:t>
            </w:r>
          </w:p>
        </w:tc>
        <w:tc>
          <w:tcPr>
            <w:tcW w:w="1260" w:type="dxa"/>
            <w:shd w:val="clear" w:color="auto" w:fill="auto"/>
            <w:noWrap/>
            <w:vAlign w:val="center"/>
            <w:hideMark/>
          </w:tcPr>
          <w:p w14:paraId="4D2466D0" w14:textId="36FF1611"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7,888,379</w:t>
            </w:r>
          </w:p>
        </w:tc>
        <w:tc>
          <w:tcPr>
            <w:tcW w:w="1397" w:type="dxa"/>
            <w:shd w:val="clear" w:color="auto" w:fill="auto"/>
            <w:noWrap/>
            <w:vAlign w:val="center"/>
            <w:hideMark/>
          </w:tcPr>
          <w:p w14:paraId="08891F3E" w14:textId="6ABB3F9A"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3,899.47</w:t>
            </w:r>
          </w:p>
        </w:tc>
        <w:tc>
          <w:tcPr>
            <w:tcW w:w="1150" w:type="dxa"/>
            <w:shd w:val="clear" w:color="auto" w:fill="auto"/>
            <w:noWrap/>
            <w:vAlign w:val="center"/>
            <w:hideMark/>
          </w:tcPr>
          <w:p w14:paraId="0F8053A9" w14:textId="3ECF087F"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274.13</w:t>
            </w:r>
          </w:p>
        </w:tc>
        <w:tc>
          <w:tcPr>
            <w:tcW w:w="1233" w:type="dxa"/>
            <w:shd w:val="clear" w:color="auto" w:fill="auto"/>
            <w:noWrap/>
            <w:vAlign w:val="center"/>
            <w:hideMark/>
          </w:tcPr>
          <w:p w14:paraId="49162E78" w14:textId="0A7BEC6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15.96</w:t>
            </w:r>
          </w:p>
        </w:tc>
        <w:tc>
          <w:tcPr>
            <w:tcW w:w="916" w:type="dxa"/>
            <w:vAlign w:val="center"/>
            <w:hideMark/>
          </w:tcPr>
          <w:p w14:paraId="730194A5"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5C146B4C" w14:textId="77777777" w:rsidTr="00467CF9">
        <w:trPr>
          <w:trHeight w:val="326"/>
        </w:trPr>
        <w:tc>
          <w:tcPr>
            <w:tcW w:w="900" w:type="dxa"/>
            <w:shd w:val="clear" w:color="auto" w:fill="auto"/>
            <w:noWrap/>
            <w:vAlign w:val="center"/>
            <w:hideMark/>
          </w:tcPr>
          <w:p w14:paraId="74A1DAA6"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2015</w:t>
            </w:r>
          </w:p>
        </w:tc>
        <w:tc>
          <w:tcPr>
            <w:tcW w:w="1170" w:type="dxa"/>
            <w:shd w:val="clear" w:color="auto" w:fill="auto"/>
            <w:noWrap/>
            <w:vAlign w:val="center"/>
            <w:hideMark/>
          </w:tcPr>
          <w:p w14:paraId="004E1595" w14:textId="22F6CEA5"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3,078,868</w:t>
            </w:r>
          </w:p>
        </w:tc>
        <w:tc>
          <w:tcPr>
            <w:tcW w:w="1710" w:type="dxa"/>
            <w:shd w:val="clear" w:color="auto" w:fill="auto"/>
            <w:noWrap/>
            <w:vAlign w:val="center"/>
            <w:hideMark/>
          </w:tcPr>
          <w:p w14:paraId="4E9EB198" w14:textId="14437D9B"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1,289.31</w:t>
            </w:r>
          </w:p>
        </w:tc>
        <w:tc>
          <w:tcPr>
            <w:tcW w:w="1530" w:type="dxa"/>
            <w:shd w:val="clear" w:color="auto" w:fill="auto"/>
            <w:noWrap/>
            <w:vAlign w:val="center"/>
            <w:hideMark/>
          </w:tcPr>
          <w:p w14:paraId="39100477" w14:textId="445E34BC"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-2,434.30</w:t>
            </w:r>
          </w:p>
        </w:tc>
        <w:tc>
          <w:tcPr>
            <w:tcW w:w="1260" w:type="dxa"/>
            <w:shd w:val="clear" w:color="auto" w:fill="auto"/>
            <w:noWrap/>
            <w:vAlign w:val="center"/>
            <w:hideMark/>
          </w:tcPr>
          <w:p w14:paraId="36880ED7" w14:textId="0D4C7AB8"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6.08</w:t>
            </w:r>
          </w:p>
        </w:tc>
        <w:tc>
          <w:tcPr>
            <w:tcW w:w="1260" w:type="dxa"/>
            <w:shd w:val="clear" w:color="auto" w:fill="auto"/>
            <w:noWrap/>
            <w:vAlign w:val="center"/>
            <w:hideMark/>
          </w:tcPr>
          <w:p w14:paraId="1CAE1E22" w14:textId="66D47716"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8,115,912</w:t>
            </w:r>
          </w:p>
        </w:tc>
        <w:tc>
          <w:tcPr>
            <w:tcW w:w="1397" w:type="dxa"/>
            <w:shd w:val="clear" w:color="auto" w:fill="auto"/>
            <w:noWrap/>
            <w:vAlign w:val="center"/>
            <w:hideMark/>
          </w:tcPr>
          <w:p w14:paraId="5EC6B187" w14:textId="2C83E25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3,991.30</w:t>
            </w:r>
          </w:p>
        </w:tc>
        <w:tc>
          <w:tcPr>
            <w:tcW w:w="1150" w:type="dxa"/>
            <w:shd w:val="clear" w:color="auto" w:fill="auto"/>
            <w:noWrap/>
            <w:vAlign w:val="center"/>
            <w:hideMark/>
          </w:tcPr>
          <w:p w14:paraId="07956435" w14:textId="457F46E1"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267.69</w:t>
            </w:r>
          </w:p>
        </w:tc>
        <w:tc>
          <w:tcPr>
            <w:tcW w:w="1233" w:type="dxa"/>
            <w:shd w:val="clear" w:color="auto" w:fill="auto"/>
            <w:noWrap/>
            <w:vAlign w:val="center"/>
            <w:hideMark/>
          </w:tcPr>
          <w:p w14:paraId="093208C5" w14:textId="4F286429"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16.04</w:t>
            </w:r>
          </w:p>
        </w:tc>
        <w:tc>
          <w:tcPr>
            <w:tcW w:w="916" w:type="dxa"/>
            <w:vAlign w:val="center"/>
            <w:hideMark/>
          </w:tcPr>
          <w:p w14:paraId="5F8713EE"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553A3C8E" w14:textId="77777777" w:rsidTr="00467CF9">
        <w:trPr>
          <w:trHeight w:val="326"/>
        </w:trPr>
        <w:tc>
          <w:tcPr>
            <w:tcW w:w="900" w:type="dxa"/>
            <w:shd w:val="clear" w:color="auto" w:fill="auto"/>
            <w:noWrap/>
            <w:vAlign w:val="center"/>
            <w:hideMark/>
          </w:tcPr>
          <w:p w14:paraId="16653AA6"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2016</w:t>
            </w:r>
          </w:p>
        </w:tc>
        <w:tc>
          <w:tcPr>
            <w:tcW w:w="1170" w:type="dxa"/>
            <w:shd w:val="clear" w:color="auto" w:fill="auto"/>
            <w:noWrap/>
            <w:vAlign w:val="center"/>
            <w:hideMark/>
          </w:tcPr>
          <w:p w14:paraId="4487A555" w14:textId="39B88015"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2,965,977</w:t>
            </w:r>
          </w:p>
        </w:tc>
        <w:tc>
          <w:tcPr>
            <w:tcW w:w="1710" w:type="dxa"/>
            <w:shd w:val="clear" w:color="auto" w:fill="auto"/>
            <w:noWrap/>
            <w:vAlign w:val="center"/>
            <w:hideMark/>
          </w:tcPr>
          <w:p w14:paraId="22DE7C1B" w14:textId="7C3668FD"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1,317.64</w:t>
            </w:r>
          </w:p>
        </w:tc>
        <w:tc>
          <w:tcPr>
            <w:tcW w:w="1530" w:type="dxa"/>
            <w:shd w:val="clear" w:color="auto" w:fill="auto"/>
            <w:noWrap/>
            <w:vAlign w:val="center"/>
            <w:hideMark/>
          </w:tcPr>
          <w:p w14:paraId="4C4BE390" w14:textId="12A0F831"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-$,534.27</w:t>
            </w:r>
          </w:p>
        </w:tc>
        <w:tc>
          <w:tcPr>
            <w:tcW w:w="1260" w:type="dxa"/>
            <w:shd w:val="clear" w:color="auto" w:fill="auto"/>
            <w:noWrap/>
            <w:vAlign w:val="center"/>
            <w:hideMark/>
          </w:tcPr>
          <w:p w14:paraId="1665D74B" w14:textId="4A0CAE93"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5.75</w:t>
            </w:r>
          </w:p>
        </w:tc>
        <w:tc>
          <w:tcPr>
            <w:tcW w:w="1260" w:type="dxa"/>
            <w:shd w:val="clear" w:color="auto" w:fill="auto"/>
            <w:noWrap/>
            <w:vAlign w:val="center"/>
            <w:hideMark/>
          </w:tcPr>
          <w:p w14:paraId="5C0112C4" w14:textId="57BD74EC"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8,411,674</w:t>
            </w:r>
          </w:p>
        </w:tc>
        <w:tc>
          <w:tcPr>
            <w:tcW w:w="1397" w:type="dxa"/>
            <w:shd w:val="clear" w:color="auto" w:fill="auto"/>
            <w:noWrap/>
            <w:vAlign w:val="center"/>
            <w:hideMark/>
          </w:tcPr>
          <w:p w14:paraId="3039BDB9" w14:textId="5A8E226E"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4,096.81</w:t>
            </w:r>
          </w:p>
        </w:tc>
        <w:tc>
          <w:tcPr>
            <w:tcW w:w="1150" w:type="dxa"/>
            <w:shd w:val="clear" w:color="auto" w:fill="auto"/>
            <w:noWrap/>
            <w:vAlign w:val="center"/>
            <w:hideMark/>
          </w:tcPr>
          <w:p w14:paraId="323037DA" w14:textId="4CC89169"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244.90</w:t>
            </w:r>
          </w:p>
        </w:tc>
        <w:tc>
          <w:tcPr>
            <w:tcW w:w="1233" w:type="dxa"/>
            <w:shd w:val="clear" w:color="auto" w:fill="auto"/>
            <w:noWrap/>
            <w:vAlign w:val="center"/>
            <w:hideMark/>
          </w:tcPr>
          <w:p w14:paraId="7EDB7145" w14:textId="5B975CB3"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16.30</w:t>
            </w:r>
          </w:p>
        </w:tc>
        <w:tc>
          <w:tcPr>
            <w:tcW w:w="916" w:type="dxa"/>
            <w:vAlign w:val="center"/>
            <w:hideMark/>
          </w:tcPr>
          <w:p w14:paraId="4395646B"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6037FBC5" w14:textId="77777777" w:rsidTr="00467CF9">
        <w:trPr>
          <w:trHeight w:val="326"/>
        </w:trPr>
        <w:tc>
          <w:tcPr>
            <w:tcW w:w="900" w:type="dxa"/>
            <w:shd w:val="clear" w:color="auto" w:fill="auto"/>
            <w:noWrap/>
            <w:vAlign w:val="center"/>
            <w:hideMark/>
          </w:tcPr>
          <w:p w14:paraId="3631EBB4"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2017</w:t>
            </w:r>
          </w:p>
        </w:tc>
        <w:tc>
          <w:tcPr>
            <w:tcW w:w="1170" w:type="dxa"/>
            <w:shd w:val="clear" w:color="auto" w:fill="auto"/>
            <w:noWrap/>
            <w:vAlign w:val="center"/>
            <w:hideMark/>
          </w:tcPr>
          <w:p w14:paraId="342C233F" w14:textId="7165F16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3,099,117</w:t>
            </w:r>
          </w:p>
        </w:tc>
        <w:tc>
          <w:tcPr>
            <w:tcW w:w="1710" w:type="dxa"/>
            <w:shd w:val="clear" w:color="auto" w:fill="auto"/>
            <w:noWrap/>
            <w:vAlign w:val="center"/>
            <w:hideMark/>
          </w:tcPr>
          <w:p w14:paraId="1C50ECF9" w14:textId="4E66AF4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1,523.07</w:t>
            </w:r>
          </w:p>
        </w:tc>
        <w:tc>
          <w:tcPr>
            <w:tcW w:w="1530" w:type="dxa"/>
            <w:shd w:val="clear" w:color="auto" w:fill="auto"/>
            <w:noWrap/>
            <w:vAlign w:val="center"/>
            <w:hideMark/>
          </w:tcPr>
          <w:p w14:paraId="679FD210" w14:textId="5034BF6F"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-2,373.10</w:t>
            </w:r>
          </w:p>
        </w:tc>
        <w:tc>
          <w:tcPr>
            <w:tcW w:w="1260" w:type="dxa"/>
            <w:shd w:val="clear" w:color="auto" w:fill="auto"/>
            <w:noWrap/>
            <w:vAlign w:val="center"/>
            <w:hideMark/>
          </w:tcPr>
          <w:p w14:paraId="794AA632" w14:textId="63920D0D"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5.92</w:t>
            </w:r>
          </w:p>
        </w:tc>
        <w:tc>
          <w:tcPr>
            <w:tcW w:w="1260" w:type="dxa"/>
            <w:shd w:val="clear" w:color="auto" w:fill="auto"/>
            <w:noWrap/>
            <w:vAlign w:val="center"/>
            <w:hideMark/>
          </w:tcPr>
          <w:p w14:paraId="3FD6CC11" w14:textId="29934EF3"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8,691,338</w:t>
            </w:r>
          </w:p>
        </w:tc>
        <w:tc>
          <w:tcPr>
            <w:tcW w:w="1397" w:type="dxa"/>
            <w:shd w:val="clear" w:color="auto" w:fill="auto"/>
            <w:noWrap/>
            <w:vAlign w:val="center"/>
            <w:hideMark/>
          </w:tcPr>
          <w:p w14:paraId="2E5F846A" w14:textId="19CBAA1C"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4,157.49</w:t>
            </w:r>
          </w:p>
        </w:tc>
        <w:tc>
          <w:tcPr>
            <w:tcW w:w="1150" w:type="dxa"/>
            <w:shd w:val="clear" w:color="auto" w:fill="auto"/>
            <w:noWrap/>
            <w:vAlign w:val="center"/>
            <w:hideMark/>
          </w:tcPr>
          <w:p w14:paraId="2167A0FD" w14:textId="70D23F05"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261.33</w:t>
            </w:r>
          </w:p>
        </w:tc>
        <w:tc>
          <w:tcPr>
            <w:tcW w:w="1233" w:type="dxa"/>
            <w:shd w:val="clear" w:color="auto" w:fill="auto"/>
            <w:noWrap/>
            <w:vAlign w:val="center"/>
            <w:hideMark/>
          </w:tcPr>
          <w:p w14:paraId="1F97D285" w14:textId="58CC16C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16.61</w:t>
            </w:r>
          </w:p>
        </w:tc>
        <w:tc>
          <w:tcPr>
            <w:tcW w:w="916" w:type="dxa"/>
            <w:vAlign w:val="center"/>
            <w:hideMark/>
          </w:tcPr>
          <w:p w14:paraId="1E73EC2B"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16E06508" w14:textId="77777777" w:rsidTr="00467CF9">
        <w:trPr>
          <w:trHeight w:val="326"/>
        </w:trPr>
        <w:tc>
          <w:tcPr>
            <w:tcW w:w="900" w:type="dxa"/>
            <w:shd w:val="clear" w:color="auto" w:fill="auto"/>
            <w:noWrap/>
            <w:vAlign w:val="center"/>
            <w:hideMark/>
          </w:tcPr>
          <w:p w14:paraId="5EC29FB6"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2018</w:t>
            </w:r>
          </w:p>
        </w:tc>
        <w:tc>
          <w:tcPr>
            <w:tcW w:w="1170" w:type="dxa"/>
            <w:shd w:val="clear" w:color="auto" w:fill="auto"/>
            <w:noWrap/>
            <w:vAlign w:val="center"/>
            <w:hideMark/>
          </w:tcPr>
          <w:p w14:paraId="6B75FF94" w14:textId="6000289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3,117,165</w:t>
            </w:r>
          </w:p>
        </w:tc>
        <w:tc>
          <w:tcPr>
            <w:tcW w:w="1710" w:type="dxa"/>
            <w:shd w:val="clear" w:color="auto" w:fill="auto"/>
            <w:noWrap/>
            <w:vAlign w:val="center"/>
            <w:hideMark/>
          </w:tcPr>
          <w:p w14:paraId="28DAB146" w14:textId="545E993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1,597.25</w:t>
            </w:r>
          </w:p>
        </w:tc>
        <w:tc>
          <w:tcPr>
            <w:tcW w:w="1530" w:type="dxa"/>
            <w:shd w:val="clear" w:color="auto" w:fill="auto"/>
            <w:noWrap/>
            <w:vAlign w:val="center"/>
            <w:hideMark/>
          </w:tcPr>
          <w:p w14:paraId="68CFA278" w14:textId="3C8EE00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-2,421.85</w:t>
            </w:r>
          </w:p>
        </w:tc>
        <w:tc>
          <w:tcPr>
            <w:tcW w:w="1260" w:type="dxa"/>
            <w:shd w:val="clear" w:color="auto" w:fill="auto"/>
            <w:noWrap/>
            <w:vAlign w:val="center"/>
            <w:hideMark/>
          </w:tcPr>
          <w:p w14:paraId="0098BFD9" w14:textId="750B88C8"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5.80</w:t>
            </w:r>
          </w:p>
        </w:tc>
        <w:tc>
          <w:tcPr>
            <w:tcW w:w="1260" w:type="dxa"/>
            <w:shd w:val="clear" w:color="auto" w:fill="auto"/>
            <w:noWrap/>
            <w:vAlign w:val="center"/>
            <w:hideMark/>
          </w:tcPr>
          <w:p w14:paraId="7F048AAC" w14:textId="14159293"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8,940,657</w:t>
            </w:r>
          </w:p>
        </w:tc>
        <w:tc>
          <w:tcPr>
            <w:tcW w:w="1397" w:type="dxa"/>
            <w:shd w:val="clear" w:color="auto" w:fill="auto"/>
            <w:noWrap/>
            <w:vAlign w:val="center"/>
            <w:hideMark/>
          </w:tcPr>
          <w:p w14:paraId="6C48D415" w14:textId="3549A6F9"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4,270.19</w:t>
            </w:r>
          </w:p>
        </w:tc>
        <w:tc>
          <w:tcPr>
            <w:tcW w:w="1150" w:type="dxa"/>
            <w:shd w:val="clear" w:color="auto" w:fill="auto"/>
            <w:noWrap/>
            <w:vAlign w:val="center"/>
            <w:hideMark/>
          </w:tcPr>
          <w:p w14:paraId="40FD08B7" w14:textId="5AEDD35B"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251.09</w:t>
            </w:r>
          </w:p>
        </w:tc>
        <w:tc>
          <w:tcPr>
            <w:tcW w:w="1233" w:type="dxa"/>
            <w:shd w:val="clear" w:color="auto" w:fill="auto"/>
            <w:noWrap/>
            <w:vAlign w:val="center"/>
            <w:hideMark/>
          </w:tcPr>
          <w:p w14:paraId="46441B4A" w14:textId="289251F1"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16.64</w:t>
            </w:r>
          </w:p>
        </w:tc>
        <w:tc>
          <w:tcPr>
            <w:tcW w:w="916" w:type="dxa"/>
            <w:vAlign w:val="center"/>
            <w:hideMark/>
          </w:tcPr>
          <w:p w14:paraId="3DD7B24F"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6EDE6B09" w14:textId="77777777" w:rsidTr="00467CF9">
        <w:trPr>
          <w:trHeight w:val="326"/>
        </w:trPr>
        <w:tc>
          <w:tcPr>
            <w:tcW w:w="900" w:type="dxa"/>
            <w:shd w:val="clear" w:color="auto" w:fill="auto"/>
            <w:noWrap/>
            <w:vAlign w:val="center"/>
            <w:hideMark/>
          </w:tcPr>
          <w:p w14:paraId="39909FB3"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2019</w:t>
            </w:r>
          </w:p>
        </w:tc>
        <w:tc>
          <w:tcPr>
            <w:tcW w:w="1170" w:type="dxa"/>
            <w:shd w:val="clear" w:color="auto" w:fill="auto"/>
            <w:noWrap/>
            <w:vAlign w:val="center"/>
            <w:hideMark/>
          </w:tcPr>
          <w:p w14:paraId="7C4B6DEA" w14:textId="41B3DFC9"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3,036,782</w:t>
            </w:r>
          </w:p>
        </w:tc>
        <w:tc>
          <w:tcPr>
            <w:tcW w:w="1710" w:type="dxa"/>
            <w:shd w:val="clear" w:color="auto" w:fill="auto"/>
            <w:noWrap/>
            <w:vAlign w:val="center"/>
            <w:hideMark/>
          </w:tcPr>
          <w:p w14:paraId="74C4ACAE" w14:textId="4C27F6AB"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1,771.87</w:t>
            </w:r>
          </w:p>
        </w:tc>
        <w:tc>
          <w:tcPr>
            <w:tcW w:w="1530" w:type="dxa"/>
            <w:shd w:val="clear" w:color="auto" w:fill="auto"/>
            <w:noWrap/>
            <w:vAlign w:val="center"/>
            <w:hideMark/>
          </w:tcPr>
          <w:p w14:paraId="38218706" w14:textId="67C2F070"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-2,527.42</w:t>
            </w:r>
          </w:p>
        </w:tc>
        <w:tc>
          <w:tcPr>
            <w:tcW w:w="1260" w:type="dxa"/>
            <w:shd w:val="clear" w:color="auto" w:fill="auto"/>
            <w:noWrap/>
            <w:vAlign w:val="center"/>
            <w:hideMark/>
          </w:tcPr>
          <w:p w14:paraId="7945B5BC" w14:textId="568B516C"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5.52</w:t>
            </w:r>
          </w:p>
        </w:tc>
        <w:tc>
          <w:tcPr>
            <w:tcW w:w="1260" w:type="dxa"/>
            <w:shd w:val="clear" w:color="auto" w:fill="auto"/>
            <w:noWrap/>
            <w:vAlign w:val="center"/>
            <w:hideMark/>
          </w:tcPr>
          <w:p w14:paraId="0259F539" w14:textId="1EABFABB"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9,112,885</w:t>
            </w:r>
          </w:p>
        </w:tc>
        <w:tc>
          <w:tcPr>
            <w:tcW w:w="1397" w:type="dxa"/>
            <w:shd w:val="clear" w:color="auto" w:fill="auto"/>
            <w:noWrap/>
            <w:vAlign w:val="center"/>
            <w:hideMark/>
          </w:tcPr>
          <w:p w14:paraId="50212C00" w14:textId="65977E23"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4,611.69</w:t>
            </w:r>
          </w:p>
        </w:tc>
        <w:tc>
          <w:tcPr>
            <w:tcW w:w="1150" w:type="dxa"/>
            <w:shd w:val="clear" w:color="auto" w:fill="auto"/>
            <w:noWrap/>
            <w:vAlign w:val="center"/>
            <w:hideMark/>
          </w:tcPr>
          <w:p w14:paraId="23A1E0DC" w14:textId="24E40703"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312.39</w:t>
            </w:r>
          </w:p>
        </w:tc>
        <w:tc>
          <w:tcPr>
            <w:tcW w:w="1233" w:type="dxa"/>
            <w:shd w:val="clear" w:color="auto" w:fill="auto"/>
            <w:noWrap/>
            <w:vAlign w:val="center"/>
            <w:hideMark/>
          </w:tcPr>
          <w:p w14:paraId="143C0EC6" w14:textId="105E643E"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16.57</w:t>
            </w:r>
          </w:p>
        </w:tc>
        <w:tc>
          <w:tcPr>
            <w:tcW w:w="916" w:type="dxa"/>
            <w:vAlign w:val="center"/>
            <w:hideMark/>
          </w:tcPr>
          <w:p w14:paraId="5F0F73E8"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16987260" w14:textId="77777777" w:rsidTr="00467CF9">
        <w:trPr>
          <w:trHeight w:val="326"/>
        </w:trPr>
        <w:tc>
          <w:tcPr>
            <w:tcW w:w="900" w:type="dxa"/>
            <w:shd w:val="clear" w:color="auto" w:fill="auto"/>
            <w:noWrap/>
            <w:vAlign w:val="center"/>
            <w:hideMark/>
          </w:tcPr>
          <w:p w14:paraId="65BD3DB7"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2020</w:t>
            </w:r>
          </w:p>
        </w:tc>
        <w:tc>
          <w:tcPr>
            <w:tcW w:w="1170" w:type="dxa"/>
            <w:shd w:val="clear" w:color="auto" w:fill="auto"/>
            <w:noWrap/>
            <w:vAlign w:val="center"/>
            <w:hideMark/>
          </w:tcPr>
          <w:p w14:paraId="27F582A7" w14:textId="1A04E9A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2,939,841</w:t>
            </w:r>
          </w:p>
        </w:tc>
        <w:tc>
          <w:tcPr>
            <w:tcW w:w="1710" w:type="dxa"/>
            <w:shd w:val="clear" w:color="auto" w:fill="auto"/>
            <w:noWrap/>
            <w:vAlign w:val="center"/>
            <w:hideMark/>
          </w:tcPr>
          <w:p w14:paraId="10A20D19" w14:textId="342EE05A"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2,108.91</w:t>
            </w:r>
          </w:p>
        </w:tc>
        <w:tc>
          <w:tcPr>
            <w:tcW w:w="1530" w:type="dxa"/>
            <w:shd w:val="clear" w:color="auto" w:fill="auto"/>
            <w:noWrap/>
            <w:vAlign w:val="center"/>
            <w:hideMark/>
          </w:tcPr>
          <w:p w14:paraId="33DD360C" w14:textId="7F43D157"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-2,539.24</w:t>
            </w:r>
          </w:p>
        </w:tc>
        <w:tc>
          <w:tcPr>
            <w:tcW w:w="1260" w:type="dxa"/>
            <w:shd w:val="clear" w:color="auto" w:fill="auto"/>
            <w:noWrap/>
            <w:vAlign w:val="center"/>
            <w:hideMark/>
          </w:tcPr>
          <w:p w14:paraId="486F4C84" w14:textId="39BF844F"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5.52</w:t>
            </w:r>
          </w:p>
        </w:tc>
        <w:tc>
          <w:tcPr>
            <w:tcW w:w="1260" w:type="dxa"/>
            <w:shd w:val="clear" w:color="auto" w:fill="auto"/>
            <w:noWrap/>
            <w:vAlign w:val="center"/>
            <w:hideMark/>
          </w:tcPr>
          <w:p w14:paraId="70D73BD7" w14:textId="697033CD"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8,798,521</w:t>
            </w:r>
          </w:p>
        </w:tc>
        <w:tc>
          <w:tcPr>
            <w:tcW w:w="1397" w:type="dxa"/>
            <w:shd w:val="clear" w:color="auto" w:fill="auto"/>
            <w:noWrap/>
            <w:vAlign w:val="center"/>
            <w:hideMark/>
          </w:tcPr>
          <w:p w14:paraId="0C1FA9C9" w14:textId="7FCF0331"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4,918.80</w:t>
            </w:r>
          </w:p>
        </w:tc>
        <w:tc>
          <w:tcPr>
            <w:tcW w:w="1150" w:type="dxa"/>
            <w:shd w:val="clear" w:color="auto" w:fill="auto"/>
            <w:noWrap/>
            <w:vAlign w:val="center"/>
            <w:hideMark/>
          </w:tcPr>
          <w:p w14:paraId="35C12F1B" w14:textId="3C7663EB"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270.65</w:t>
            </w:r>
          </w:p>
        </w:tc>
        <w:tc>
          <w:tcPr>
            <w:tcW w:w="1233" w:type="dxa"/>
            <w:shd w:val="clear" w:color="auto" w:fill="auto"/>
            <w:noWrap/>
            <w:vAlign w:val="center"/>
            <w:hideMark/>
          </w:tcPr>
          <w:p w14:paraId="4F38E34B" w14:textId="10386243"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16.53</w:t>
            </w:r>
          </w:p>
        </w:tc>
        <w:tc>
          <w:tcPr>
            <w:tcW w:w="916" w:type="dxa"/>
            <w:vAlign w:val="center"/>
            <w:hideMark/>
          </w:tcPr>
          <w:p w14:paraId="54748ED5"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6E38B0DB" w14:textId="77777777" w:rsidTr="00467CF9">
        <w:trPr>
          <w:trHeight w:val="326"/>
        </w:trPr>
        <w:tc>
          <w:tcPr>
            <w:tcW w:w="900" w:type="dxa"/>
            <w:shd w:val="clear" w:color="auto" w:fill="auto"/>
            <w:noWrap/>
            <w:vAlign w:val="center"/>
            <w:hideMark/>
          </w:tcPr>
          <w:p w14:paraId="71687D0D"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2021</w:t>
            </w:r>
          </w:p>
        </w:tc>
        <w:tc>
          <w:tcPr>
            <w:tcW w:w="1170" w:type="dxa"/>
            <w:shd w:val="clear" w:color="auto" w:fill="auto"/>
            <w:noWrap/>
            <w:vAlign w:val="center"/>
            <w:hideMark/>
          </w:tcPr>
          <w:p w14:paraId="5092540F" w14:textId="212937C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2,920,644</w:t>
            </w:r>
          </w:p>
        </w:tc>
        <w:tc>
          <w:tcPr>
            <w:tcW w:w="1710" w:type="dxa"/>
            <w:shd w:val="clear" w:color="auto" w:fill="auto"/>
            <w:noWrap/>
            <w:vAlign w:val="center"/>
            <w:hideMark/>
          </w:tcPr>
          <w:p w14:paraId="18AF9280" w14:textId="0561BB8F"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2,028.94</w:t>
            </w:r>
          </w:p>
        </w:tc>
        <w:tc>
          <w:tcPr>
            <w:tcW w:w="1530" w:type="dxa"/>
            <w:shd w:val="clear" w:color="auto" w:fill="auto"/>
            <w:noWrap/>
            <w:vAlign w:val="center"/>
            <w:hideMark/>
          </w:tcPr>
          <w:p w14:paraId="2294042E" w14:textId="0394D1DE"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-2,868.19</w:t>
            </w:r>
          </w:p>
        </w:tc>
        <w:tc>
          <w:tcPr>
            <w:tcW w:w="1260" w:type="dxa"/>
            <w:shd w:val="clear" w:color="auto" w:fill="auto"/>
            <w:noWrap/>
            <w:vAlign w:val="center"/>
            <w:hideMark/>
          </w:tcPr>
          <w:p w14:paraId="23711DB9" w14:textId="0343B00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5.31</w:t>
            </w:r>
          </w:p>
        </w:tc>
        <w:tc>
          <w:tcPr>
            <w:tcW w:w="1260" w:type="dxa"/>
            <w:shd w:val="clear" w:color="auto" w:fill="auto"/>
            <w:noWrap/>
            <w:vAlign w:val="center"/>
            <w:hideMark/>
          </w:tcPr>
          <w:p w14:paraId="458E00D9" w14:textId="3ABEBF1B"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9,060,234</w:t>
            </w:r>
          </w:p>
        </w:tc>
        <w:tc>
          <w:tcPr>
            <w:tcW w:w="1397" w:type="dxa"/>
            <w:shd w:val="clear" w:color="auto" w:fill="auto"/>
            <w:noWrap/>
            <w:vAlign w:val="center"/>
            <w:hideMark/>
          </w:tcPr>
          <w:p w14:paraId="73C358F9" w14:textId="43BA600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5,243.97</w:t>
            </w:r>
          </w:p>
        </w:tc>
        <w:tc>
          <w:tcPr>
            <w:tcW w:w="1150" w:type="dxa"/>
            <w:shd w:val="clear" w:color="auto" w:fill="auto"/>
            <w:noWrap/>
            <w:vAlign w:val="center"/>
            <w:hideMark/>
          </w:tcPr>
          <w:p w14:paraId="283947FD" w14:textId="3404EFF5"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346.85</w:t>
            </w:r>
          </w:p>
        </w:tc>
        <w:tc>
          <w:tcPr>
            <w:tcW w:w="1233" w:type="dxa"/>
            <w:shd w:val="clear" w:color="auto" w:fill="auto"/>
            <w:noWrap/>
            <w:vAlign w:val="center"/>
            <w:hideMark/>
          </w:tcPr>
          <w:p w14:paraId="388B6E62" w14:textId="5E1E5F9B"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16.47</w:t>
            </w:r>
          </w:p>
        </w:tc>
        <w:tc>
          <w:tcPr>
            <w:tcW w:w="916" w:type="dxa"/>
            <w:vAlign w:val="center"/>
            <w:hideMark/>
          </w:tcPr>
          <w:p w14:paraId="5816654A"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AC157F" w:rsidRPr="00AC157F" w14:paraId="1D2B21C4" w14:textId="77777777" w:rsidTr="00467CF9">
        <w:trPr>
          <w:trHeight w:val="326"/>
        </w:trPr>
        <w:tc>
          <w:tcPr>
            <w:tcW w:w="900" w:type="dxa"/>
            <w:tcBorders>
              <w:bottom w:val="single" w:sz="4" w:space="0" w:color="auto"/>
            </w:tcBorders>
            <w:shd w:val="clear" w:color="auto" w:fill="auto"/>
            <w:noWrap/>
            <w:vAlign w:val="center"/>
            <w:hideMark/>
          </w:tcPr>
          <w:p w14:paraId="0FE5ADC2" w14:textId="77777777"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2022</w:t>
            </w:r>
          </w:p>
        </w:tc>
        <w:tc>
          <w:tcPr>
            <w:tcW w:w="1170" w:type="dxa"/>
            <w:tcBorders>
              <w:bottom w:val="single" w:sz="4" w:space="0" w:color="auto"/>
            </w:tcBorders>
            <w:shd w:val="clear" w:color="auto" w:fill="auto"/>
            <w:noWrap/>
            <w:vAlign w:val="center"/>
            <w:hideMark/>
          </w:tcPr>
          <w:p w14:paraId="7947AA0A" w14:textId="62BB0041"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2,866,060</w:t>
            </w:r>
          </w:p>
        </w:tc>
        <w:tc>
          <w:tcPr>
            <w:tcW w:w="1710" w:type="dxa"/>
            <w:tcBorders>
              <w:bottom w:val="single" w:sz="4" w:space="0" w:color="auto"/>
            </w:tcBorders>
            <w:shd w:val="clear" w:color="auto" w:fill="auto"/>
            <w:noWrap/>
            <w:vAlign w:val="center"/>
            <w:hideMark/>
          </w:tcPr>
          <w:p w14:paraId="4D53352C" w14:textId="11650EC8"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2,383.77</w:t>
            </w:r>
          </w:p>
        </w:tc>
        <w:tc>
          <w:tcPr>
            <w:tcW w:w="1530" w:type="dxa"/>
            <w:tcBorders>
              <w:bottom w:val="single" w:sz="4" w:space="0" w:color="auto"/>
            </w:tcBorders>
            <w:shd w:val="clear" w:color="auto" w:fill="auto"/>
            <w:noWrap/>
            <w:vAlign w:val="center"/>
            <w:hideMark/>
          </w:tcPr>
          <w:p w14:paraId="0C2BB66C" w14:textId="6CF4BA1D"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-2,838.86</w:t>
            </w:r>
          </w:p>
        </w:tc>
        <w:tc>
          <w:tcPr>
            <w:tcW w:w="1260" w:type="dxa"/>
            <w:tcBorders>
              <w:bottom w:val="single" w:sz="4" w:space="0" w:color="auto"/>
            </w:tcBorders>
            <w:shd w:val="clear" w:color="auto" w:fill="auto"/>
            <w:noWrap/>
            <w:vAlign w:val="center"/>
            <w:hideMark/>
          </w:tcPr>
          <w:p w14:paraId="0402141F" w14:textId="56C3E004"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5.08</w:t>
            </w:r>
          </w:p>
        </w:tc>
        <w:tc>
          <w:tcPr>
            <w:tcW w:w="1260" w:type="dxa"/>
            <w:tcBorders>
              <w:bottom w:val="single" w:sz="4" w:space="0" w:color="auto"/>
            </w:tcBorders>
            <w:shd w:val="clear" w:color="auto" w:fill="auto"/>
            <w:noWrap/>
            <w:vAlign w:val="center"/>
            <w:hideMark/>
          </w:tcPr>
          <w:p w14:paraId="5ECA964B" w14:textId="65139AD2"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9,319,829</w:t>
            </w:r>
          </w:p>
        </w:tc>
        <w:tc>
          <w:tcPr>
            <w:tcW w:w="1397" w:type="dxa"/>
            <w:tcBorders>
              <w:bottom w:val="single" w:sz="4" w:space="0" w:color="auto"/>
            </w:tcBorders>
            <w:shd w:val="clear" w:color="auto" w:fill="auto"/>
            <w:noWrap/>
            <w:vAlign w:val="center"/>
            <w:hideMark/>
          </w:tcPr>
          <w:p w14:paraId="1CF49B75" w14:textId="600264F9"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5,596.20</w:t>
            </w:r>
          </w:p>
        </w:tc>
        <w:tc>
          <w:tcPr>
            <w:tcW w:w="1150" w:type="dxa"/>
            <w:tcBorders>
              <w:bottom w:val="single" w:sz="4" w:space="0" w:color="auto"/>
            </w:tcBorders>
            <w:shd w:val="clear" w:color="auto" w:fill="auto"/>
            <w:noWrap/>
            <w:vAlign w:val="center"/>
            <w:hideMark/>
          </w:tcPr>
          <w:p w14:paraId="6EFC93AB" w14:textId="56E89765"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373.56</w:t>
            </w:r>
          </w:p>
        </w:tc>
        <w:tc>
          <w:tcPr>
            <w:tcW w:w="1233" w:type="dxa"/>
            <w:tcBorders>
              <w:bottom w:val="single" w:sz="4" w:space="0" w:color="auto"/>
            </w:tcBorders>
            <w:shd w:val="clear" w:color="auto" w:fill="auto"/>
            <w:noWrap/>
            <w:vAlign w:val="center"/>
            <w:hideMark/>
          </w:tcPr>
          <w:p w14:paraId="6ABA01DA" w14:textId="04A5431C" w:rsidR="00AC157F" w:rsidRPr="00AC157F" w:rsidRDefault="00AC157F" w:rsidP="00467CF9">
            <w:pPr>
              <w:spacing w:after="0" w:line="240" w:lineRule="auto"/>
              <w:jc w:val="center"/>
              <w:rPr>
                <w:rFonts w:ascii="Calibri" w:eastAsia="Times New Roman" w:hAnsi="Calibri" w:cs="Calibri"/>
                <w:color w:val="000000"/>
                <w:sz w:val="22"/>
              </w:rPr>
            </w:pPr>
            <w:r w:rsidRPr="00AC157F">
              <w:rPr>
                <w:rFonts w:ascii="Calibri" w:eastAsia="Times New Roman" w:hAnsi="Calibri" w:cs="Calibri"/>
                <w:color w:val="000000"/>
                <w:sz w:val="22"/>
              </w:rPr>
              <w:t>16.52</w:t>
            </w:r>
          </w:p>
        </w:tc>
        <w:tc>
          <w:tcPr>
            <w:tcW w:w="916" w:type="dxa"/>
            <w:tcBorders>
              <w:bottom w:val="single" w:sz="4" w:space="0" w:color="auto"/>
            </w:tcBorders>
            <w:vAlign w:val="center"/>
            <w:hideMark/>
          </w:tcPr>
          <w:p w14:paraId="7CE5F669"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490243" w:rsidRPr="00AC157F" w14:paraId="1B051F32" w14:textId="77777777" w:rsidTr="00570E30">
        <w:trPr>
          <w:trHeight w:val="326"/>
        </w:trPr>
        <w:tc>
          <w:tcPr>
            <w:tcW w:w="11610" w:type="dxa"/>
            <w:gridSpan w:val="9"/>
            <w:tcBorders>
              <w:top w:val="single" w:sz="4" w:space="0" w:color="auto"/>
            </w:tcBorders>
            <w:shd w:val="clear" w:color="auto" w:fill="auto"/>
            <w:noWrap/>
            <w:vAlign w:val="center"/>
            <w:hideMark/>
          </w:tcPr>
          <w:p w14:paraId="1ABB2D5A" w14:textId="5C69FAC5" w:rsidR="00AC157F" w:rsidRPr="00AC157F" w:rsidRDefault="00AC157F" w:rsidP="00AC157F">
            <w:pPr>
              <w:spacing w:after="0" w:line="240" w:lineRule="auto"/>
              <w:rPr>
                <w:rFonts w:ascii="Calibri" w:eastAsia="Times New Roman" w:hAnsi="Calibri" w:cs="Calibri"/>
                <w:color w:val="000000"/>
                <w:sz w:val="22"/>
              </w:rPr>
            </w:pPr>
            <w:r w:rsidRPr="00AC157F">
              <w:rPr>
                <w:rFonts w:ascii="Calibri" w:eastAsia="Times New Roman" w:hAnsi="Calibri" w:cs="Calibri"/>
                <w:color w:val="000000"/>
                <w:sz w:val="22"/>
              </w:rPr>
              <w:t xml:space="preserve">* </w:t>
            </w:r>
            <w:r w:rsidR="00DC7183">
              <w:rPr>
                <w:rFonts w:ascii="Calibri" w:eastAsia="Times New Roman" w:hAnsi="Calibri" w:cs="Calibri"/>
                <w:color w:val="000000"/>
                <w:sz w:val="22"/>
              </w:rPr>
              <w:t>Data</w:t>
            </w:r>
            <w:r w:rsidRPr="00AC157F">
              <w:rPr>
                <w:rFonts w:ascii="Calibri" w:eastAsia="Times New Roman" w:hAnsi="Calibri" w:cs="Calibri"/>
                <w:color w:val="000000"/>
                <w:sz w:val="22"/>
              </w:rPr>
              <w:t xml:space="preserve"> not included due to the changed </w:t>
            </w:r>
            <w:r w:rsidR="00366281">
              <w:rPr>
                <w:rFonts w:ascii="Calibri" w:eastAsia="Times New Roman" w:hAnsi="Calibri" w:cs="Calibri"/>
                <w:color w:val="000000"/>
                <w:sz w:val="22"/>
              </w:rPr>
              <w:t xml:space="preserve">nature </w:t>
            </w:r>
            <w:r w:rsidRPr="00AC157F">
              <w:rPr>
                <w:rFonts w:ascii="Calibri" w:eastAsia="Times New Roman" w:hAnsi="Calibri" w:cs="Calibri"/>
                <w:color w:val="000000"/>
                <w:sz w:val="22"/>
              </w:rPr>
              <w:t xml:space="preserve">in </w:t>
            </w:r>
            <w:r w:rsidR="00366281">
              <w:rPr>
                <w:rFonts w:ascii="Calibri" w:eastAsia="Times New Roman" w:hAnsi="Calibri" w:cs="Calibri"/>
                <w:color w:val="000000"/>
                <w:sz w:val="22"/>
              </w:rPr>
              <w:t xml:space="preserve">agricultural </w:t>
            </w:r>
            <w:r w:rsidRPr="00AC157F">
              <w:rPr>
                <w:rFonts w:ascii="Calibri" w:eastAsia="Times New Roman" w:hAnsi="Calibri" w:cs="Calibri"/>
                <w:color w:val="000000"/>
                <w:sz w:val="22"/>
              </w:rPr>
              <w:t>worker categorization</w:t>
            </w:r>
          </w:p>
        </w:tc>
        <w:tc>
          <w:tcPr>
            <w:tcW w:w="916" w:type="dxa"/>
            <w:tcBorders>
              <w:top w:val="single" w:sz="4" w:space="0" w:color="auto"/>
            </w:tcBorders>
            <w:vAlign w:val="center"/>
            <w:hideMark/>
          </w:tcPr>
          <w:p w14:paraId="19C7A4AC"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r w:rsidR="00490243" w:rsidRPr="00AC157F" w14:paraId="5080C00A" w14:textId="77777777" w:rsidTr="00570E30">
        <w:trPr>
          <w:trHeight w:val="326"/>
        </w:trPr>
        <w:tc>
          <w:tcPr>
            <w:tcW w:w="11610" w:type="dxa"/>
            <w:gridSpan w:val="9"/>
            <w:shd w:val="clear" w:color="auto" w:fill="auto"/>
            <w:noWrap/>
            <w:vAlign w:val="center"/>
            <w:hideMark/>
          </w:tcPr>
          <w:p w14:paraId="2E8A8A4C" w14:textId="115F18AD" w:rsidR="00AC157F" w:rsidRPr="00BC185B" w:rsidRDefault="00AC157F" w:rsidP="00AC157F">
            <w:pPr>
              <w:spacing w:after="0" w:line="240" w:lineRule="auto"/>
              <w:rPr>
                <w:rFonts w:ascii="Calibri" w:eastAsia="Times New Roman" w:hAnsi="Calibri" w:cs="Calibri"/>
                <w:color w:val="000000"/>
                <w:sz w:val="22"/>
              </w:rPr>
            </w:pPr>
            <w:r w:rsidRPr="00BC185B">
              <w:rPr>
                <w:rFonts w:ascii="Calibri" w:eastAsia="Times New Roman" w:hAnsi="Calibri" w:cs="Calibri"/>
                <w:color w:val="000000"/>
                <w:sz w:val="22"/>
              </w:rPr>
              <w:t xml:space="preserve">Source: </w:t>
            </w:r>
            <w:r w:rsidR="00D52065" w:rsidRPr="00BC185B">
              <w:rPr>
                <w:rFonts w:ascii="Calibri" w:eastAsia="Times New Roman" w:hAnsi="Calibri" w:cs="Calibri"/>
                <w:color w:val="000000"/>
                <w:sz w:val="22"/>
              </w:rPr>
              <w:t xml:space="preserve">INEGI </w:t>
            </w:r>
            <w:r w:rsidRPr="00BC185B">
              <w:rPr>
                <w:rFonts w:ascii="Calibri" w:eastAsia="Times New Roman" w:hAnsi="Calibri" w:cs="Calibri"/>
                <w:color w:val="000000"/>
                <w:sz w:val="22"/>
              </w:rPr>
              <w:t>ENEO</w:t>
            </w:r>
            <w:r w:rsidR="00BC185B">
              <w:rPr>
                <w:rFonts w:ascii="Calibri" w:eastAsia="Times New Roman" w:hAnsi="Calibri" w:cs="Calibri"/>
                <w:color w:val="000000"/>
                <w:sz w:val="22"/>
              </w:rPr>
              <w:t xml:space="preserve"> from</w:t>
            </w:r>
            <w:r w:rsidR="00051658" w:rsidRPr="00BC185B">
              <w:rPr>
                <w:rFonts w:ascii="Calibri" w:eastAsia="Times New Roman" w:hAnsi="Calibri" w:cs="Calibri"/>
                <w:color w:val="000000"/>
                <w:sz w:val="22"/>
              </w:rPr>
              <w:t xml:space="preserve"> </w:t>
            </w:r>
            <w:r w:rsidR="0002745C" w:rsidRPr="00BC185B">
              <w:rPr>
                <w:rFonts w:ascii="Calibri" w:eastAsia="Times New Roman" w:hAnsi="Calibri" w:cs="Calibri"/>
                <w:color w:val="000000"/>
                <w:sz w:val="22"/>
              </w:rPr>
              <w:t>D</w:t>
            </w:r>
            <w:r w:rsidR="00051658" w:rsidRPr="00BC185B">
              <w:rPr>
                <w:rFonts w:ascii="Calibri" w:eastAsia="Times New Roman" w:hAnsi="Calibri" w:cs="Calibri"/>
                <w:color w:val="000000"/>
                <w:sz w:val="22"/>
              </w:rPr>
              <w:t>ata Mexico</w:t>
            </w:r>
          </w:p>
        </w:tc>
        <w:tc>
          <w:tcPr>
            <w:tcW w:w="916" w:type="dxa"/>
            <w:vAlign w:val="center"/>
            <w:hideMark/>
          </w:tcPr>
          <w:p w14:paraId="13E843E1" w14:textId="77777777" w:rsidR="00AC157F" w:rsidRPr="00AC157F" w:rsidRDefault="00AC157F" w:rsidP="00AC157F">
            <w:pPr>
              <w:spacing w:after="0" w:line="240" w:lineRule="auto"/>
              <w:rPr>
                <w:rFonts w:ascii="Times New Roman" w:eastAsia="Times New Roman" w:hAnsi="Times New Roman" w:cs="Times New Roman"/>
                <w:sz w:val="20"/>
                <w:szCs w:val="20"/>
              </w:rPr>
            </w:pPr>
          </w:p>
        </w:tc>
      </w:tr>
    </w:tbl>
    <w:p w14:paraId="32B9DDF1" w14:textId="77777777" w:rsidR="00C41AC5" w:rsidRDefault="00C41AC5" w:rsidP="00E05F53"/>
    <w:p w14:paraId="678C6F96" w14:textId="6EADAB4A" w:rsidR="00E04523" w:rsidRDefault="00C41AC5" w:rsidP="00333BBF">
      <w:pPr>
        <w:spacing w:line="480" w:lineRule="auto"/>
        <w:ind w:firstLine="720"/>
      </w:pPr>
      <w:r>
        <w:t xml:space="preserve">Reviewing the data in table 4 we can clearly see that manufacturing employment increased when compared to agricultural workers. </w:t>
      </w:r>
      <w:r w:rsidR="00E05F53">
        <w:t xml:space="preserve">Updated </w:t>
      </w:r>
      <w:r w:rsidR="00436D75">
        <w:t>data</w:t>
      </w:r>
      <w:r w:rsidR="00E05F53">
        <w:t xml:space="preserve"> using primary sources </w:t>
      </w:r>
      <w:r w:rsidR="00646154">
        <w:t>could negate the findings of</w:t>
      </w:r>
      <w:r w:rsidR="00E05F53">
        <w:t xml:space="preserve"> Polaski</w:t>
      </w:r>
      <w:r w:rsidR="005D7A96">
        <w:t xml:space="preserve"> (2004)</w:t>
      </w:r>
      <w:r w:rsidR="00E05F53">
        <w:t>. From the measured period</w:t>
      </w:r>
      <w:r w:rsidR="00E04523">
        <w:t xml:space="preserve"> of 2013 to 2022</w:t>
      </w:r>
      <w:r w:rsidR="00E05F53">
        <w:t xml:space="preserve">, the </w:t>
      </w:r>
      <w:r w:rsidR="002D3CB2">
        <w:t>number</w:t>
      </w:r>
      <w:r w:rsidR="00E05F53">
        <w:t xml:space="preserve"> of workers in the agricultural sector fell by 218,977. In concordance with the losses in agricultural employment, manufacturing employment increased by </w:t>
      </w:r>
      <w:r w:rsidR="002D3CB2" w:rsidRPr="00E05F53">
        <w:t xml:space="preserve">1,609,017 </w:t>
      </w:r>
      <w:r w:rsidR="002D3CB2">
        <w:t>since</w:t>
      </w:r>
      <w:r w:rsidR="00E05F53">
        <w:t xml:space="preserve"> 2013. </w:t>
      </w:r>
      <w:r w:rsidR="008F68AB">
        <w:t>Similarly,</w:t>
      </w:r>
      <w:r w:rsidR="00EC252D">
        <w:t xml:space="preserve"> the </w:t>
      </w:r>
      <w:r w:rsidR="00DC65AE">
        <w:t>p</w:t>
      </w:r>
      <w:r w:rsidR="00EC252D">
        <w:t xml:space="preserve">ercentage of </w:t>
      </w:r>
      <w:r w:rsidR="00E04523">
        <w:t>the total workforce employed in</w:t>
      </w:r>
      <w:r w:rsidR="00DC65AE">
        <w:t xml:space="preserve"> agriculture fell from </w:t>
      </w:r>
      <w:r w:rsidR="00E71215">
        <w:t>6.27%</w:t>
      </w:r>
      <w:r w:rsidR="00DC65AE">
        <w:t xml:space="preserve"> in 201</w:t>
      </w:r>
      <w:r w:rsidR="00E71215">
        <w:t>3</w:t>
      </w:r>
      <w:r w:rsidR="00DC65AE">
        <w:t xml:space="preserve"> to </w:t>
      </w:r>
      <w:r w:rsidR="00E71215">
        <w:t>5.08</w:t>
      </w:r>
      <w:r w:rsidR="00DC65AE">
        <w:t>% in</w:t>
      </w:r>
      <w:r w:rsidR="00CB3C37">
        <w:t xml:space="preserve"> </w:t>
      </w:r>
      <w:r w:rsidR="00DC65AE">
        <w:t xml:space="preserve">2022. </w:t>
      </w:r>
      <w:r w:rsidR="00E04523">
        <w:t>T</w:t>
      </w:r>
      <w:r w:rsidR="00DC65AE">
        <w:t>he workforce percentage</w:t>
      </w:r>
      <w:r w:rsidR="008F68AB">
        <w:t xml:space="preserve"> employed</w:t>
      </w:r>
      <w:r w:rsidR="00DC65AE">
        <w:t xml:space="preserve"> in manufacturing increased from </w:t>
      </w:r>
      <w:r w:rsidR="00E71215">
        <w:t>15.66</w:t>
      </w:r>
      <w:r w:rsidR="00E04523">
        <w:t>%</w:t>
      </w:r>
      <w:r w:rsidR="00E71215">
        <w:t xml:space="preserve"> in 2013 </w:t>
      </w:r>
      <w:r w:rsidR="00DC65AE">
        <w:t xml:space="preserve">to </w:t>
      </w:r>
      <w:r w:rsidR="00E71215">
        <w:t>16.52%</w:t>
      </w:r>
      <w:r w:rsidR="00DC65AE">
        <w:t xml:space="preserve"> in 2022.</w:t>
      </w:r>
      <w:r w:rsidR="00D77BF9">
        <w:t xml:space="preserve"> </w:t>
      </w:r>
    </w:p>
    <w:p w14:paraId="7014B3C9" w14:textId="67234FA8" w:rsidR="00753808" w:rsidRDefault="00D77BF9" w:rsidP="00333BBF">
      <w:pPr>
        <w:spacing w:line="480" w:lineRule="auto"/>
        <w:ind w:firstLine="720"/>
      </w:pPr>
      <w:r>
        <w:lastRenderedPageBreak/>
        <w:t xml:space="preserve">The </w:t>
      </w:r>
      <w:r w:rsidR="00340DED">
        <w:t>table</w:t>
      </w:r>
      <w:r>
        <w:t xml:space="preserve"> also </w:t>
      </w:r>
      <w:r w:rsidR="00340DED">
        <w:t>contains</w:t>
      </w:r>
      <w:r>
        <w:t xml:space="preserve"> the average monthly salary across workers </w:t>
      </w:r>
      <w:r w:rsidR="003509A8">
        <w:t xml:space="preserve">by </w:t>
      </w:r>
      <w:r>
        <w:t>employment type</w:t>
      </w:r>
      <w:r w:rsidR="00BC7BF1">
        <w:t xml:space="preserve"> and the general national average for monthly wages</w:t>
      </w:r>
      <w:r>
        <w:t xml:space="preserve">. </w:t>
      </w:r>
      <w:r w:rsidR="004F63DA">
        <w:t xml:space="preserve">The </w:t>
      </w:r>
      <w:r>
        <w:t>salary for agricultural workers increased from</w:t>
      </w:r>
      <w:r w:rsidR="00147770">
        <w:t xml:space="preserve"> </w:t>
      </w:r>
      <w:r>
        <w:t>a</w:t>
      </w:r>
      <w:r w:rsidR="00147770">
        <w:t xml:space="preserve"> monthly</w:t>
      </w:r>
      <w:r>
        <w:t xml:space="preserve"> average of 1</w:t>
      </w:r>
      <w:r w:rsidR="00CB3C37">
        <w:t>,</w:t>
      </w:r>
      <w:r>
        <w:t xml:space="preserve">211.30 </w:t>
      </w:r>
      <w:r w:rsidR="004F63DA">
        <w:t>p</w:t>
      </w:r>
      <w:r>
        <w:t>esos to 2</w:t>
      </w:r>
      <w:r w:rsidR="00CB3C37">
        <w:t>,</w:t>
      </w:r>
      <w:r>
        <w:t>383.77 pesos</w:t>
      </w:r>
      <w:r w:rsidR="00147770">
        <w:t>,</w:t>
      </w:r>
      <w:r w:rsidR="008F68AB">
        <w:t xml:space="preserve"> an increase of 1,172.47 pesos</w:t>
      </w:r>
      <w:r w:rsidR="00147770">
        <w:t xml:space="preserve"> </w:t>
      </w:r>
      <w:r w:rsidR="00340DED">
        <w:t>between 2013 and 2022</w:t>
      </w:r>
      <w:r>
        <w:t xml:space="preserve">. Although there was wage growth for agriculture, when compared to the </w:t>
      </w:r>
      <w:r w:rsidR="00824755">
        <w:t xml:space="preserve">national </w:t>
      </w:r>
      <w:r>
        <w:t>average wage</w:t>
      </w:r>
      <w:r w:rsidR="00CB3C37">
        <w:t>s</w:t>
      </w:r>
      <w:r>
        <w:t xml:space="preserve"> e</w:t>
      </w:r>
      <w:r w:rsidR="003509A8">
        <w:t xml:space="preserve">arned in Mexico, agricultural </w:t>
      </w:r>
      <w:r w:rsidR="00AA7D01">
        <w:t>workers still remained below the general monthly salary</w:t>
      </w:r>
      <w:r w:rsidR="0002745C">
        <w:t xml:space="preserve"> staying 2,</w:t>
      </w:r>
      <w:r w:rsidR="00E8349A">
        <w:t>383.77</w:t>
      </w:r>
      <w:r w:rsidR="0002745C">
        <w:t xml:space="preserve"> pesos </w:t>
      </w:r>
      <w:r w:rsidR="00E80CD2">
        <w:t>below the general average compensation</w:t>
      </w:r>
      <w:r w:rsidR="00916A2C">
        <w:t xml:space="preserve"> in 2022</w:t>
      </w:r>
      <w:r w:rsidR="00AA7D01">
        <w:t>.</w:t>
      </w:r>
      <w:r w:rsidR="0002745C">
        <w:t xml:space="preserve"> </w:t>
      </w:r>
      <w:r w:rsidR="005C13FF">
        <w:t xml:space="preserve">The difference in wages </w:t>
      </w:r>
      <w:r w:rsidR="00881D12">
        <w:t>w</w:t>
      </w:r>
      <w:r w:rsidR="0002745C">
        <w:t xml:space="preserve">orkers employed in manufacturing </w:t>
      </w:r>
      <w:r w:rsidR="00881D12">
        <w:t>earned when compared to agriculture were 2,644.21 pesos for 2013</w:t>
      </w:r>
      <w:r w:rsidR="005C13FF">
        <w:t>.</w:t>
      </w:r>
      <w:r w:rsidR="00881D12">
        <w:t xml:space="preserve"> </w:t>
      </w:r>
      <w:r w:rsidR="005C13FF">
        <w:t xml:space="preserve">The wages in manufacturing </w:t>
      </w:r>
      <w:r w:rsidR="00881D12">
        <w:t xml:space="preserve">maintained their positive differential and </w:t>
      </w:r>
      <w:r w:rsidR="005C13FF">
        <w:t xml:space="preserve">were </w:t>
      </w:r>
      <w:r w:rsidR="00636714">
        <w:t>3,212.43</w:t>
      </w:r>
      <w:r w:rsidR="005C13FF">
        <w:t xml:space="preserve"> pesos more than the wages in agriculture for 2022. </w:t>
      </w:r>
    </w:p>
    <w:p w14:paraId="45D1A634" w14:textId="08B88643" w:rsidR="007324BA" w:rsidRDefault="007324BA" w:rsidP="007324BA">
      <w:pPr>
        <w:spacing w:line="480" w:lineRule="auto"/>
        <w:rPr>
          <w:b/>
          <w:bCs/>
          <w:szCs w:val="24"/>
        </w:rPr>
      </w:pPr>
      <w:r w:rsidRPr="007324BA">
        <w:rPr>
          <w:b/>
          <w:bCs/>
          <w:szCs w:val="24"/>
        </w:rPr>
        <w:t>Conclusion</w:t>
      </w:r>
    </w:p>
    <w:p w14:paraId="7BD8ACFF" w14:textId="4AFD0EE9" w:rsidR="001C28E0" w:rsidRPr="00E05F53" w:rsidRDefault="001C28E0" w:rsidP="00443676">
      <w:pPr>
        <w:spacing w:line="480" w:lineRule="auto"/>
        <w:ind w:firstLine="720"/>
      </w:pPr>
      <w:r w:rsidRPr="007324BA">
        <w:rPr>
          <w:szCs w:val="24"/>
        </w:rPr>
        <w:t xml:space="preserve">By most measures NAFTA was a </w:t>
      </w:r>
      <w:r w:rsidR="00D54876">
        <w:rPr>
          <w:szCs w:val="24"/>
        </w:rPr>
        <w:t>positive effect on</w:t>
      </w:r>
      <w:r w:rsidRPr="007324BA">
        <w:rPr>
          <w:szCs w:val="24"/>
        </w:rPr>
        <w:t xml:space="preserve"> Mexico’s social welfare when viewed in a broad scope</w:t>
      </w:r>
      <w:r>
        <w:rPr>
          <w:szCs w:val="24"/>
        </w:rPr>
        <w:t xml:space="preserve">. </w:t>
      </w:r>
      <w:r>
        <w:t xml:space="preserve">Further research is needed to expand from the initial findings shown for Mexican average wages post NAFTA </w:t>
      </w:r>
      <w:r w:rsidR="004F42A4">
        <w:t>implementation using normalized historical data.</w:t>
      </w:r>
    </w:p>
    <w:p w14:paraId="3E4CBBE1" w14:textId="50B3D31F" w:rsidR="00FD1AB0" w:rsidRDefault="00333BBF" w:rsidP="00BC4E34">
      <w:pPr>
        <w:spacing w:line="480" w:lineRule="auto"/>
        <w:ind w:firstLine="720"/>
      </w:pPr>
      <w:r>
        <w:t xml:space="preserve">A possible explanation for the L/K ratio remaining higher in Mexico </w:t>
      </w:r>
      <w:r w:rsidR="00B455BB">
        <w:t xml:space="preserve">when compared to the United States were </w:t>
      </w:r>
      <w:r>
        <w:t xml:space="preserve">the shifts in labor </w:t>
      </w:r>
      <w:r w:rsidR="00B455BB">
        <w:t xml:space="preserve">that were created by the outsourcing of American manufacturing firms relocating to Mexico due to the cheaper wages. As Polaski (2004) </w:t>
      </w:r>
      <w:r w:rsidR="00FD1AB0">
        <w:t>note</w:t>
      </w:r>
      <w:r w:rsidR="00202096">
        <w:t>d</w:t>
      </w:r>
      <w:r w:rsidR="00B455BB">
        <w:t xml:space="preserve">, the </w:t>
      </w:r>
      <w:r w:rsidR="00FD1AB0">
        <w:t>spillover effects on</w:t>
      </w:r>
      <w:r w:rsidR="00B455BB">
        <w:t xml:space="preserve"> local manufacturing firms </w:t>
      </w:r>
      <w:r w:rsidR="00FD1AB0">
        <w:t>from increased activity were reduced. The</w:t>
      </w:r>
      <w:r w:rsidR="00B455BB">
        <w:t xml:space="preserve"> multiplier</w:t>
      </w:r>
      <w:r w:rsidR="00FD1AB0">
        <w:t xml:space="preserve"> effect on local markets was also diminished due </w:t>
      </w:r>
      <w:r w:rsidR="00BC4E34">
        <w:t>to imported</w:t>
      </w:r>
      <w:r w:rsidR="00FD1AB0">
        <w:t xml:space="preserve"> material inputs,</w:t>
      </w:r>
      <w:r w:rsidR="00B455BB">
        <w:t xml:space="preserve"> </w:t>
      </w:r>
      <w:r w:rsidR="00FD1AB0">
        <w:t xml:space="preserve">potentially </w:t>
      </w:r>
      <w:r w:rsidR="00B455BB">
        <w:t xml:space="preserve">reducing the effectiveness of capital </w:t>
      </w:r>
      <w:r w:rsidR="00FD1AB0">
        <w:t>inflows</w:t>
      </w:r>
      <w:r w:rsidR="00B455BB">
        <w:t xml:space="preserve"> from </w:t>
      </w:r>
      <w:r w:rsidR="0031573E">
        <w:t>f</w:t>
      </w:r>
      <w:r w:rsidR="00B455BB">
        <w:t xml:space="preserve">oreign direct investment. The massive increase in American agricultural exports to Mexico also contributed to the losses in </w:t>
      </w:r>
      <w:r w:rsidR="00B455BB">
        <w:lastRenderedPageBreak/>
        <w:t>Mexican agricultural employment</w:t>
      </w:r>
      <w:r w:rsidR="0031573E">
        <w:t xml:space="preserve">, </w:t>
      </w:r>
      <w:r w:rsidR="0030703F">
        <w:t xml:space="preserve">most likely </w:t>
      </w:r>
      <w:r w:rsidR="0031573E">
        <w:t>shifting labor towards manufacturing</w:t>
      </w:r>
      <w:r w:rsidR="00202096">
        <w:t xml:space="preserve"> </w:t>
      </w:r>
      <w:r w:rsidR="0030703F">
        <w:t>due to the increasing wage differential</w:t>
      </w:r>
      <w:r w:rsidR="00A54186">
        <w:t xml:space="preserve">s. </w:t>
      </w:r>
    </w:p>
    <w:p w14:paraId="38B32F37" w14:textId="3185CACA" w:rsidR="00EA6F22" w:rsidRDefault="00EA6F22" w:rsidP="00EA6F22">
      <w:pPr>
        <w:spacing w:line="480" w:lineRule="auto"/>
        <w:ind w:firstLine="720"/>
        <w:rPr>
          <w:szCs w:val="24"/>
        </w:rPr>
      </w:pPr>
      <w:r w:rsidRPr="007324BA">
        <w:rPr>
          <w:szCs w:val="24"/>
        </w:rPr>
        <w:t xml:space="preserve">The losses in Mexican social welfare cannot be attributed solely to the implementation of NAFTA, indeed there is great difficulty separating the effects of the trade agreement from local domestic factors such as the Mexican peso crisis along with changing world markets. With the introduction of China into the World Trade Organization, Mexico’s comparative advantage in cheap labor was reduced, shifting U.S. trade deficits in favor of China. Being one of the first trade agreements of its kind between a developing nation and two larger economic giants, NAFTA </w:t>
      </w:r>
      <w:r w:rsidR="006947F7">
        <w:rPr>
          <w:szCs w:val="24"/>
        </w:rPr>
        <w:t>serves as a useful case study</w:t>
      </w:r>
      <w:r w:rsidRPr="007324BA">
        <w:rPr>
          <w:szCs w:val="24"/>
        </w:rPr>
        <w:t xml:space="preserve"> for </w:t>
      </w:r>
      <w:r w:rsidR="006947F7">
        <w:rPr>
          <w:szCs w:val="24"/>
        </w:rPr>
        <w:t>international free trade</w:t>
      </w:r>
      <w:r>
        <w:rPr>
          <w:szCs w:val="24"/>
        </w:rPr>
        <w:t xml:space="preserve"> agreements </w:t>
      </w:r>
      <w:r w:rsidR="006947F7">
        <w:rPr>
          <w:szCs w:val="24"/>
        </w:rPr>
        <w:t>between</w:t>
      </w:r>
      <w:r>
        <w:rPr>
          <w:szCs w:val="24"/>
        </w:rPr>
        <w:t xml:space="preserve"> </w:t>
      </w:r>
      <w:r w:rsidR="006947F7">
        <w:rPr>
          <w:szCs w:val="24"/>
        </w:rPr>
        <w:t>other nations of similar composition</w:t>
      </w:r>
      <w:r>
        <w:rPr>
          <w:szCs w:val="24"/>
        </w:rPr>
        <w:t>. It is the author’s hope that the USMCA will lead to more equitable outcomes for all parties involved.</w:t>
      </w:r>
    </w:p>
    <w:p w14:paraId="74C17A1A" w14:textId="6BE172E3" w:rsidR="00F2649D" w:rsidRDefault="00F2649D" w:rsidP="00F2649D">
      <w:pPr>
        <w:spacing w:line="480" w:lineRule="auto"/>
        <w:rPr>
          <w:szCs w:val="24"/>
        </w:rPr>
      </w:pPr>
      <w:r>
        <w:rPr>
          <w:b/>
          <w:bCs/>
          <w:szCs w:val="24"/>
        </w:rPr>
        <w:t>Addendum</w:t>
      </w:r>
    </w:p>
    <w:p w14:paraId="430168F9" w14:textId="01AC467B" w:rsidR="00F2649D" w:rsidRPr="00F2649D" w:rsidRDefault="00F2649D" w:rsidP="00F2649D">
      <w:pPr>
        <w:spacing w:line="480" w:lineRule="auto"/>
        <w:rPr>
          <w:szCs w:val="24"/>
        </w:rPr>
      </w:pPr>
      <w:r>
        <w:rPr>
          <w:szCs w:val="24"/>
        </w:rPr>
        <w:tab/>
        <w:t xml:space="preserve">The paper contains a brief literature review that was constrained by the submission deadline. The author acknowledges that the current sources and review are inadequate to properly assess the effects of NAFTA and will be expanded upon with </w:t>
      </w:r>
      <w:r w:rsidR="00D80282">
        <w:rPr>
          <w:szCs w:val="24"/>
        </w:rPr>
        <w:t>further</w:t>
      </w:r>
      <w:r w:rsidR="0089382E">
        <w:rPr>
          <w:szCs w:val="24"/>
        </w:rPr>
        <w:t xml:space="preserve"> </w:t>
      </w:r>
      <w:r>
        <w:rPr>
          <w:szCs w:val="24"/>
        </w:rPr>
        <w:t xml:space="preserve">research. Additionally, the data findings section is incomplete with missing comparable U.S. wage data across the same sectors. The author had to submit the paper before an appropriate analysis was concluded. The U.S. wage data would be used to create a case against the extension of the Heckscher-Ohlin theorem known as the Samuel-Stolperson theorem. The primary case for this paper would have focused on comparable wage differentials post NAFTA and will most likely be </w:t>
      </w:r>
      <w:r>
        <w:rPr>
          <w:szCs w:val="24"/>
        </w:rPr>
        <w:lastRenderedPageBreak/>
        <w:t>the focus of the author’s presentation at the WEAI. If you found this paper to be adequate or not, please email me with any questions or critique at miguel-dz@live.com</w:t>
      </w:r>
      <w:r w:rsidR="0067799A">
        <w:rPr>
          <w:szCs w:val="24"/>
        </w:rPr>
        <w:t>.</w:t>
      </w:r>
    </w:p>
    <w:p w14:paraId="2143AC36" w14:textId="1751D05D" w:rsidR="007324BA" w:rsidRDefault="007324BA" w:rsidP="00EA6F22">
      <w:pPr>
        <w:spacing w:line="480" w:lineRule="auto"/>
        <w:ind w:firstLine="720"/>
        <w:rPr>
          <w:szCs w:val="24"/>
        </w:rPr>
      </w:pPr>
      <w:r>
        <w:rPr>
          <w:szCs w:val="24"/>
        </w:rPr>
        <w:br w:type="page"/>
      </w:r>
    </w:p>
    <w:p w14:paraId="361A9796" w14:textId="71D2DABF" w:rsidR="007324BA" w:rsidRPr="007324BA" w:rsidRDefault="00CC2611" w:rsidP="007324BA">
      <w:pPr>
        <w:jc w:val="center"/>
        <w:rPr>
          <w:rFonts w:cstheme="minorHAnsi"/>
          <w:szCs w:val="24"/>
        </w:rPr>
      </w:pPr>
      <w:r>
        <w:rPr>
          <w:rFonts w:cstheme="minorHAnsi"/>
          <w:szCs w:val="24"/>
        </w:rPr>
        <w:lastRenderedPageBreak/>
        <w:t>Works Cited</w:t>
      </w:r>
    </w:p>
    <w:p w14:paraId="35363780" w14:textId="02D43270" w:rsidR="007324BA" w:rsidRPr="007324BA" w:rsidRDefault="007324BA" w:rsidP="007324BA">
      <w:pPr>
        <w:rPr>
          <w:rFonts w:cstheme="minorHAnsi"/>
          <w:szCs w:val="24"/>
        </w:rPr>
      </w:pPr>
      <w:r w:rsidRPr="007324BA">
        <w:rPr>
          <w:rFonts w:cstheme="minorHAnsi"/>
          <w:szCs w:val="24"/>
        </w:rPr>
        <w:t xml:space="preserve">Arends-Kuenning, Mary, et al. “The Effect of NAFTA on Internal Migration in Mexico: </w:t>
      </w:r>
      <w:r w:rsidR="009A569B" w:rsidRPr="007324BA">
        <w:rPr>
          <w:rFonts w:cstheme="minorHAnsi"/>
          <w:szCs w:val="24"/>
        </w:rPr>
        <w:t>A</w:t>
      </w:r>
      <w:r w:rsidRPr="007324BA">
        <w:rPr>
          <w:rFonts w:cstheme="minorHAnsi"/>
          <w:szCs w:val="24"/>
        </w:rPr>
        <w:t xml:space="preserve"> Regional </w:t>
      </w:r>
      <w:r w:rsidRPr="007324BA">
        <w:rPr>
          <w:rFonts w:cstheme="minorHAnsi"/>
          <w:szCs w:val="24"/>
        </w:rPr>
        <w:tab/>
        <w:t xml:space="preserve">Economic Analysis.” Applied Economics, vol. 51, no. 10, 2019, pp. 1052–68, </w:t>
      </w:r>
      <w:r w:rsidRPr="007324BA">
        <w:rPr>
          <w:rFonts w:cstheme="minorHAnsi"/>
          <w:szCs w:val="24"/>
        </w:rPr>
        <w:tab/>
        <w:t>https://doi.org/10.1080/00036846.2018.1524976.</w:t>
      </w:r>
    </w:p>
    <w:p w14:paraId="7BFBF373" w14:textId="46D8FE0C" w:rsidR="007324BA" w:rsidRDefault="007324BA" w:rsidP="007324BA">
      <w:pPr>
        <w:rPr>
          <w:rFonts w:cstheme="minorHAnsi"/>
          <w:szCs w:val="24"/>
        </w:rPr>
      </w:pPr>
      <w:r w:rsidRPr="007324BA">
        <w:rPr>
          <w:rFonts w:cstheme="minorHAnsi"/>
          <w:szCs w:val="24"/>
        </w:rPr>
        <w:t xml:space="preserve">Barrows, Samuel D. “NAFTA Country Impacts: 25 Years After Implementation.” Asian Social </w:t>
      </w:r>
      <w:r w:rsidR="00D16D6D">
        <w:rPr>
          <w:rFonts w:cstheme="minorHAnsi"/>
          <w:szCs w:val="24"/>
        </w:rPr>
        <w:tab/>
      </w:r>
      <w:r w:rsidRPr="007324BA">
        <w:rPr>
          <w:rFonts w:cstheme="minorHAnsi"/>
          <w:szCs w:val="24"/>
        </w:rPr>
        <w:t xml:space="preserve">Science, vol. 15, no. 6, 2019, p. 7–, </w:t>
      </w:r>
      <w:hyperlink r:id="rId10" w:history="1">
        <w:r w:rsidR="00993CB3" w:rsidRPr="00471C0E">
          <w:rPr>
            <w:rStyle w:val="Hyperlink"/>
            <w:rFonts w:cstheme="minorHAnsi"/>
            <w:color w:val="auto"/>
            <w:szCs w:val="24"/>
            <w:u w:val="none"/>
          </w:rPr>
          <w:t>https://doi.org/10.5539/ass.v15n6p7</w:t>
        </w:r>
      </w:hyperlink>
      <w:r w:rsidRPr="00471C0E">
        <w:rPr>
          <w:rFonts w:cstheme="minorHAnsi"/>
          <w:szCs w:val="24"/>
        </w:rPr>
        <w:t>.</w:t>
      </w:r>
    </w:p>
    <w:p w14:paraId="4C4EE3BA" w14:textId="470DCD29" w:rsidR="00ED50BE" w:rsidRDefault="00ED50BE" w:rsidP="007324BA">
      <w:pPr>
        <w:rPr>
          <w:rFonts w:cstheme="minorHAnsi"/>
          <w:szCs w:val="24"/>
        </w:rPr>
      </w:pPr>
      <w:r w:rsidRPr="00ED50BE">
        <w:rPr>
          <w:rFonts w:cstheme="minorHAnsi"/>
          <w:szCs w:val="24"/>
        </w:rPr>
        <w:t xml:space="preserve">Chen, James. “What Was the Mexican Peso Crisis? Causes, Recovery, and History.” </w:t>
      </w:r>
      <w:r w:rsidR="00996B5E">
        <w:rPr>
          <w:rFonts w:cstheme="minorHAnsi"/>
          <w:szCs w:val="24"/>
        </w:rPr>
        <w:tab/>
      </w:r>
      <w:r w:rsidR="00996B5E" w:rsidRPr="00ED50BE">
        <w:rPr>
          <w:rFonts w:cstheme="minorHAnsi"/>
          <w:szCs w:val="24"/>
        </w:rPr>
        <w:t>Investopedia</w:t>
      </w:r>
      <w:r w:rsidRPr="00ED50BE">
        <w:rPr>
          <w:rFonts w:cstheme="minorHAnsi"/>
          <w:szCs w:val="24"/>
        </w:rPr>
        <w:t>,</w:t>
      </w:r>
      <w:r w:rsidR="00996B5E">
        <w:rPr>
          <w:rFonts w:cstheme="minorHAnsi"/>
          <w:szCs w:val="24"/>
        </w:rPr>
        <w:t xml:space="preserve"> </w:t>
      </w:r>
      <w:r w:rsidRPr="00ED50BE">
        <w:rPr>
          <w:rFonts w:cstheme="minorHAnsi"/>
          <w:szCs w:val="24"/>
        </w:rPr>
        <w:t>Investopedia, 30 Jan. 2021,</w:t>
      </w:r>
      <w:r w:rsidR="00996B5E">
        <w:rPr>
          <w:rFonts w:cstheme="minorHAnsi"/>
          <w:szCs w:val="24"/>
        </w:rPr>
        <w:t xml:space="preserve"> </w:t>
      </w:r>
      <w:r w:rsidR="00996B5E">
        <w:rPr>
          <w:rFonts w:cstheme="minorHAnsi"/>
          <w:szCs w:val="24"/>
        </w:rPr>
        <w:tab/>
      </w:r>
      <w:hyperlink r:id="rId11" w:history="1">
        <w:r w:rsidR="00A45F3D" w:rsidRPr="00471C0E">
          <w:rPr>
            <w:rStyle w:val="Hyperlink"/>
            <w:rFonts w:cstheme="minorHAnsi"/>
            <w:color w:val="auto"/>
            <w:szCs w:val="24"/>
            <w:u w:val="none"/>
          </w:rPr>
          <w:t>https://www.investopedia.com/terms/t/tequilaeffect.asp</w:t>
        </w:r>
      </w:hyperlink>
      <w:r w:rsidRPr="00471C0E">
        <w:rPr>
          <w:rFonts w:cstheme="minorHAnsi"/>
          <w:szCs w:val="24"/>
        </w:rPr>
        <w:t>.</w:t>
      </w:r>
    </w:p>
    <w:p w14:paraId="2CA8828B" w14:textId="09D385D4" w:rsidR="00A45F3D" w:rsidRPr="00A14B24" w:rsidRDefault="00A45F3D" w:rsidP="00A45F3D">
      <w:pPr>
        <w:rPr>
          <w:rFonts w:cstheme="minorHAnsi"/>
          <w:szCs w:val="24"/>
        </w:rPr>
      </w:pPr>
      <w:r w:rsidRPr="00A14B24">
        <w:rPr>
          <w:rFonts w:cstheme="minorHAnsi"/>
          <w:szCs w:val="24"/>
        </w:rPr>
        <w:t xml:space="preserve">Instituto Nacional de Estadística, Geografía e Informática (INEGI). “INEGI ENEO.” </w:t>
      </w:r>
      <w:r w:rsidRPr="00A14B24">
        <w:rPr>
          <w:rFonts w:cstheme="minorHAnsi"/>
          <w:i/>
          <w:iCs/>
          <w:szCs w:val="24"/>
        </w:rPr>
        <w:t xml:space="preserve">Encuesta </w:t>
      </w:r>
      <w:r w:rsidRPr="00A14B24">
        <w:rPr>
          <w:rFonts w:cstheme="minorHAnsi"/>
          <w:i/>
          <w:iCs/>
          <w:szCs w:val="24"/>
        </w:rPr>
        <w:tab/>
        <w:t>Nacional De Ocupación y Empleo (ENOE), Población De 15 Años y Más De Edad</w:t>
      </w:r>
      <w:r w:rsidRPr="00A14B24">
        <w:rPr>
          <w:rFonts w:cstheme="minorHAnsi"/>
          <w:szCs w:val="24"/>
        </w:rPr>
        <w:t xml:space="preserve">, </w:t>
      </w:r>
      <w:r w:rsidR="00F50920" w:rsidRPr="00A14B24">
        <w:rPr>
          <w:rFonts w:cstheme="minorHAnsi"/>
          <w:szCs w:val="24"/>
        </w:rPr>
        <w:tab/>
      </w:r>
      <w:r w:rsidR="003509A8" w:rsidRPr="00A14B24">
        <w:rPr>
          <w:rFonts w:cstheme="minorHAnsi"/>
          <w:szCs w:val="24"/>
        </w:rPr>
        <w:t>retrieved from Data Mexico</w:t>
      </w:r>
      <w:r w:rsidR="00F50920" w:rsidRPr="00A14B24">
        <w:rPr>
          <w:rFonts w:cstheme="minorHAnsi"/>
          <w:szCs w:val="24"/>
        </w:rPr>
        <w:t xml:space="preserve">, </w:t>
      </w:r>
      <w:hyperlink r:id="rId12" w:history="1">
        <w:r w:rsidR="00F50920" w:rsidRPr="00A14B24">
          <w:rPr>
            <w:rStyle w:val="Hyperlink"/>
            <w:rFonts w:cstheme="minorHAnsi"/>
            <w:color w:val="auto"/>
            <w:szCs w:val="24"/>
            <w:u w:val="none"/>
          </w:rPr>
          <w:t>https://datamexico.org/</w:t>
        </w:r>
      </w:hyperlink>
      <w:r w:rsidR="00F50920" w:rsidRPr="00A14B24">
        <w:rPr>
          <w:rFonts w:cstheme="minorHAnsi"/>
          <w:szCs w:val="24"/>
        </w:rPr>
        <w:t>, November 27,2022.</w:t>
      </w:r>
    </w:p>
    <w:p w14:paraId="1BC3B684" w14:textId="23D89A17" w:rsidR="007324BA" w:rsidRPr="007324BA" w:rsidRDefault="00A7501A" w:rsidP="007324BA">
      <w:pPr>
        <w:rPr>
          <w:rFonts w:cstheme="minorHAnsi"/>
          <w:szCs w:val="24"/>
        </w:rPr>
      </w:pPr>
      <w:r>
        <w:rPr>
          <w:rFonts w:cstheme="minorHAnsi"/>
          <w:szCs w:val="24"/>
        </w:rPr>
        <w:t>Otero, Rafael, and Gautam Hazarika</w:t>
      </w:r>
      <w:r w:rsidR="007324BA" w:rsidRPr="007324BA">
        <w:rPr>
          <w:rFonts w:cstheme="minorHAnsi"/>
          <w:szCs w:val="24"/>
        </w:rPr>
        <w:t xml:space="preserve">. “North-South Trade Liberalization and Returns to Skill in </w:t>
      </w:r>
      <w:r w:rsidR="00D16D6D">
        <w:rPr>
          <w:rFonts w:cstheme="minorHAnsi"/>
          <w:szCs w:val="24"/>
        </w:rPr>
        <w:tab/>
      </w:r>
      <w:r w:rsidR="007324BA" w:rsidRPr="007324BA">
        <w:rPr>
          <w:rFonts w:cstheme="minorHAnsi"/>
          <w:szCs w:val="24"/>
        </w:rPr>
        <w:t xml:space="preserve">the South: The Case of Mexico.” The Journal of International Trade &amp; Economic </w:t>
      </w:r>
      <w:r w:rsidR="00D16D6D">
        <w:rPr>
          <w:rFonts w:cstheme="minorHAnsi"/>
          <w:szCs w:val="24"/>
        </w:rPr>
        <w:tab/>
      </w:r>
      <w:r w:rsidR="007324BA" w:rsidRPr="007324BA">
        <w:rPr>
          <w:rFonts w:cstheme="minorHAnsi"/>
          <w:szCs w:val="24"/>
        </w:rPr>
        <w:t>Development, vol. 20, no. 4, 2011, pp. 449–65,</w:t>
      </w:r>
      <w:r w:rsidR="0072256E">
        <w:rPr>
          <w:rFonts w:cstheme="minorHAnsi"/>
          <w:szCs w:val="24"/>
        </w:rPr>
        <w:t xml:space="preserve"> </w:t>
      </w:r>
      <w:r w:rsidR="0072256E">
        <w:rPr>
          <w:rFonts w:cstheme="minorHAnsi"/>
          <w:szCs w:val="24"/>
        </w:rPr>
        <w:tab/>
      </w:r>
      <w:r w:rsidR="007324BA" w:rsidRPr="007324BA">
        <w:rPr>
          <w:rFonts w:cstheme="minorHAnsi"/>
          <w:szCs w:val="24"/>
        </w:rPr>
        <w:t>https://doi.org/10.1080/09638190903003028.</w:t>
      </w:r>
    </w:p>
    <w:p w14:paraId="5C258347" w14:textId="5E88C3A6" w:rsidR="007324BA" w:rsidRPr="007324BA" w:rsidRDefault="007324BA" w:rsidP="007324BA">
      <w:pPr>
        <w:rPr>
          <w:rFonts w:cstheme="minorHAnsi"/>
          <w:szCs w:val="24"/>
        </w:rPr>
      </w:pPr>
      <w:r w:rsidRPr="007324BA">
        <w:rPr>
          <w:rFonts w:cstheme="minorHAnsi"/>
          <w:szCs w:val="24"/>
        </w:rPr>
        <w:t xml:space="preserve">Polaski, Sandra. “Mexican Employment, Productivity and Income a Decade after NAFTA.” </w:t>
      </w:r>
      <w:r w:rsidR="00D16D6D">
        <w:rPr>
          <w:rFonts w:cstheme="minorHAnsi"/>
          <w:szCs w:val="24"/>
        </w:rPr>
        <w:tab/>
      </w:r>
      <w:r w:rsidRPr="007324BA">
        <w:rPr>
          <w:rFonts w:cstheme="minorHAnsi"/>
          <w:szCs w:val="24"/>
        </w:rPr>
        <w:t>Carnegie Endowment for International Peace, January 2004,</w:t>
      </w:r>
      <w:r w:rsidRPr="007324BA">
        <w:rPr>
          <w:rFonts w:cstheme="minorHAnsi"/>
          <w:szCs w:val="24"/>
        </w:rPr>
        <w:tab/>
      </w:r>
      <w:r w:rsidR="00D16D6D" w:rsidRPr="002E62EE">
        <w:rPr>
          <w:rFonts w:cstheme="minorHAnsi"/>
          <w:szCs w:val="24"/>
        </w:rPr>
        <w:t>https://www.researchgate.net/publication/237580641_Mexican_Employment_Producti</w:t>
      </w:r>
      <w:r w:rsidR="00D16D6D" w:rsidRPr="002E62EE">
        <w:rPr>
          <w:rFonts w:cstheme="minorHAnsi"/>
          <w:szCs w:val="24"/>
        </w:rPr>
        <w:tab/>
        <w:t>vity_an</w:t>
      </w:r>
      <w:r w:rsidRPr="002E62EE">
        <w:rPr>
          <w:rFonts w:cstheme="minorHAnsi"/>
          <w:szCs w:val="24"/>
        </w:rPr>
        <w:tab/>
        <w:t>d_Income_a_Decade_after_NAFTA.</w:t>
      </w:r>
    </w:p>
    <w:p w14:paraId="262A28CA" w14:textId="174594BA" w:rsidR="007324BA" w:rsidRPr="007324BA" w:rsidRDefault="007324BA" w:rsidP="007324BA">
      <w:pPr>
        <w:rPr>
          <w:rFonts w:cstheme="minorHAnsi"/>
          <w:szCs w:val="24"/>
        </w:rPr>
      </w:pPr>
      <w:r w:rsidRPr="007324BA">
        <w:rPr>
          <w:rFonts w:cstheme="minorHAnsi"/>
          <w:szCs w:val="24"/>
        </w:rPr>
        <w:t xml:space="preserve">Scott, Robert E. "Heading South: U.S.-Mexico Trade and Job Displacement after NAFTA." </w:t>
      </w:r>
      <w:r w:rsidR="00D16D6D">
        <w:rPr>
          <w:rFonts w:cstheme="minorHAnsi"/>
          <w:szCs w:val="24"/>
        </w:rPr>
        <w:tab/>
      </w:r>
      <w:r w:rsidRPr="007324BA">
        <w:rPr>
          <w:rFonts w:cstheme="minorHAnsi"/>
          <w:i/>
          <w:iCs/>
          <w:szCs w:val="24"/>
        </w:rPr>
        <w:t>Economic Policy Institute</w:t>
      </w:r>
      <w:r w:rsidRPr="007324BA">
        <w:rPr>
          <w:rFonts w:cstheme="minorHAnsi"/>
          <w:szCs w:val="24"/>
        </w:rPr>
        <w:t xml:space="preserve">. 3 May 2011, </w:t>
      </w:r>
      <w:hyperlink r:id="rId13" w:history="1">
        <w:r w:rsidR="00D16D6D" w:rsidRPr="002E62EE">
          <w:rPr>
            <w:rStyle w:val="Hyperlink"/>
            <w:rFonts w:cstheme="minorHAnsi"/>
            <w:color w:val="auto"/>
            <w:szCs w:val="24"/>
            <w:u w:val="none"/>
          </w:rPr>
          <w:t>https://files.epi.org/page/-</w:t>
        </w:r>
      </w:hyperlink>
      <w:r w:rsidR="00D02E84" w:rsidRPr="002E62EE">
        <w:rPr>
          <w:rFonts w:cstheme="minorHAnsi"/>
          <w:szCs w:val="24"/>
        </w:rPr>
        <w:tab/>
      </w:r>
      <w:r w:rsidRPr="002E62EE">
        <w:rPr>
          <w:rFonts w:cstheme="minorHAnsi"/>
          <w:szCs w:val="24"/>
        </w:rPr>
        <w:t>/BriefingPaper308.pdf.</w:t>
      </w:r>
    </w:p>
    <w:p w14:paraId="3A70DC68" w14:textId="2E2A435A" w:rsidR="00812E36" w:rsidRDefault="007324BA" w:rsidP="007324BA">
      <w:pPr>
        <w:rPr>
          <w:rFonts w:cstheme="minorHAnsi"/>
          <w:szCs w:val="24"/>
        </w:rPr>
      </w:pPr>
      <w:r w:rsidRPr="001A781B">
        <w:rPr>
          <w:rFonts w:cstheme="minorHAnsi"/>
          <w:szCs w:val="24"/>
        </w:rPr>
        <w:t xml:space="preserve">Truett, Lila J., and Truett, Dale B.. “NAFTA and the Maquiladoras: Boon or Bane?” </w:t>
      </w:r>
      <w:r w:rsidRPr="001A781B">
        <w:rPr>
          <w:rFonts w:cstheme="minorHAnsi"/>
          <w:i/>
          <w:iCs/>
          <w:szCs w:val="24"/>
        </w:rPr>
        <w:t xml:space="preserve">Contemporary </w:t>
      </w:r>
      <w:r w:rsidRPr="001A781B">
        <w:rPr>
          <w:rFonts w:cstheme="minorHAnsi"/>
          <w:i/>
          <w:iCs/>
          <w:szCs w:val="24"/>
        </w:rPr>
        <w:tab/>
        <w:t>economic policy</w:t>
      </w:r>
      <w:r w:rsidRPr="001A781B">
        <w:rPr>
          <w:rFonts w:cstheme="minorHAnsi"/>
          <w:szCs w:val="24"/>
        </w:rPr>
        <w:t xml:space="preserve"> 25.3 (2007): 374–386. </w:t>
      </w:r>
    </w:p>
    <w:p w14:paraId="2666A631" w14:textId="4EA10BEF" w:rsidR="004A672B" w:rsidRDefault="004A672B" w:rsidP="007324BA">
      <w:pPr>
        <w:rPr>
          <w:rFonts w:cstheme="minorHAnsi"/>
          <w:szCs w:val="24"/>
        </w:rPr>
      </w:pPr>
      <w:r w:rsidRPr="004A672B">
        <w:rPr>
          <w:rFonts w:cstheme="minorHAnsi"/>
          <w:szCs w:val="24"/>
        </w:rPr>
        <w:t xml:space="preserve">University of Groningen and University of California, Davis, “Capital Stock at Constant National </w:t>
      </w:r>
      <w:r>
        <w:rPr>
          <w:rFonts w:cstheme="minorHAnsi"/>
          <w:szCs w:val="24"/>
        </w:rPr>
        <w:tab/>
      </w:r>
      <w:r w:rsidRPr="004A672B">
        <w:rPr>
          <w:rFonts w:cstheme="minorHAnsi"/>
          <w:szCs w:val="24"/>
        </w:rPr>
        <w:t xml:space="preserve">Prices for Mexico [RKNANPMXA666NRUG]”, retrieved from FRED, Federal Reserve Bank </w:t>
      </w:r>
      <w:r>
        <w:rPr>
          <w:rFonts w:cstheme="minorHAnsi"/>
          <w:szCs w:val="24"/>
        </w:rPr>
        <w:tab/>
      </w:r>
      <w:r w:rsidRPr="004A672B">
        <w:rPr>
          <w:rFonts w:cstheme="minorHAnsi"/>
          <w:szCs w:val="24"/>
        </w:rPr>
        <w:t xml:space="preserve">of St. Louis; https://fred.stlouisfed.org/series/RKNANPMXA666NRUG, November 11, </w:t>
      </w:r>
      <w:r>
        <w:rPr>
          <w:rFonts w:cstheme="minorHAnsi"/>
          <w:szCs w:val="24"/>
        </w:rPr>
        <w:tab/>
      </w:r>
      <w:r w:rsidRPr="004A672B">
        <w:rPr>
          <w:rFonts w:cstheme="minorHAnsi"/>
          <w:szCs w:val="24"/>
        </w:rPr>
        <w:t>2022</w:t>
      </w:r>
    </w:p>
    <w:p w14:paraId="1CC85C12" w14:textId="44DE6384" w:rsidR="00CB2125" w:rsidRPr="001A781B" w:rsidRDefault="00CB2125" w:rsidP="007324BA">
      <w:pPr>
        <w:rPr>
          <w:rFonts w:cstheme="minorHAnsi"/>
          <w:szCs w:val="24"/>
        </w:rPr>
      </w:pPr>
      <w:r w:rsidRPr="00CB2125">
        <w:rPr>
          <w:rFonts w:cstheme="minorHAnsi"/>
          <w:szCs w:val="24"/>
        </w:rPr>
        <w:t xml:space="preserve">University of Groningen and University of California, Davis, “Capital Stock at Constant National </w:t>
      </w:r>
      <w:r>
        <w:rPr>
          <w:rFonts w:cstheme="minorHAnsi"/>
          <w:szCs w:val="24"/>
        </w:rPr>
        <w:tab/>
      </w:r>
      <w:r w:rsidRPr="00CB2125">
        <w:rPr>
          <w:rFonts w:cstheme="minorHAnsi"/>
          <w:szCs w:val="24"/>
        </w:rPr>
        <w:t xml:space="preserve">Prices for United States [RKNANPUSA666NRUG]”, retrieved from FRED, Federal Reserve </w:t>
      </w:r>
      <w:r>
        <w:rPr>
          <w:rFonts w:cstheme="minorHAnsi"/>
          <w:szCs w:val="24"/>
        </w:rPr>
        <w:tab/>
      </w:r>
      <w:r w:rsidRPr="00CB2125">
        <w:rPr>
          <w:rFonts w:cstheme="minorHAnsi"/>
          <w:szCs w:val="24"/>
        </w:rPr>
        <w:t xml:space="preserve">Bank of St. Louis; https://fred.stlouisfed.org/series/RKNANPUSA666NRUG, November </w:t>
      </w:r>
      <w:r>
        <w:rPr>
          <w:rFonts w:cstheme="minorHAnsi"/>
          <w:szCs w:val="24"/>
        </w:rPr>
        <w:tab/>
      </w:r>
      <w:r w:rsidRPr="00CB2125">
        <w:rPr>
          <w:rFonts w:cstheme="minorHAnsi"/>
          <w:szCs w:val="24"/>
        </w:rPr>
        <w:t>11, 2022</w:t>
      </w:r>
    </w:p>
    <w:p w14:paraId="06DED77C" w14:textId="4D490B98" w:rsidR="003342D2" w:rsidRDefault="003342D2" w:rsidP="007324BA">
      <w:pPr>
        <w:rPr>
          <w:rFonts w:cstheme="minorHAnsi"/>
          <w:szCs w:val="24"/>
        </w:rPr>
      </w:pPr>
      <w:r w:rsidRPr="003342D2">
        <w:rPr>
          <w:rFonts w:cstheme="minorHAnsi"/>
          <w:szCs w:val="24"/>
        </w:rPr>
        <w:t xml:space="preserve">University of Groningen and University of California, Davis, </w:t>
      </w:r>
      <w:r w:rsidR="00D26DEF">
        <w:rPr>
          <w:rFonts w:cstheme="minorHAnsi"/>
          <w:szCs w:val="24"/>
        </w:rPr>
        <w:t>“</w:t>
      </w:r>
      <w:r w:rsidRPr="003342D2">
        <w:rPr>
          <w:rFonts w:cstheme="minorHAnsi"/>
          <w:szCs w:val="24"/>
        </w:rPr>
        <w:t xml:space="preserve">Real GDP at Constant National </w:t>
      </w:r>
      <w:r>
        <w:rPr>
          <w:rFonts w:cstheme="minorHAnsi"/>
          <w:szCs w:val="24"/>
        </w:rPr>
        <w:tab/>
      </w:r>
      <w:r w:rsidRPr="003342D2">
        <w:rPr>
          <w:rFonts w:cstheme="minorHAnsi"/>
          <w:szCs w:val="24"/>
        </w:rPr>
        <w:t>Prices for Mexico [RGDPNAMXA666NRUG]</w:t>
      </w:r>
      <w:r w:rsidR="00D26DEF">
        <w:rPr>
          <w:rFonts w:cstheme="minorHAnsi"/>
          <w:szCs w:val="24"/>
        </w:rPr>
        <w:t>”</w:t>
      </w:r>
      <w:r w:rsidRPr="003342D2">
        <w:rPr>
          <w:rFonts w:cstheme="minorHAnsi"/>
          <w:szCs w:val="24"/>
        </w:rPr>
        <w:t xml:space="preserve">, retrieved from FRED, Federal Reserve Bank </w:t>
      </w:r>
      <w:r>
        <w:rPr>
          <w:rFonts w:cstheme="minorHAnsi"/>
          <w:szCs w:val="24"/>
        </w:rPr>
        <w:lastRenderedPageBreak/>
        <w:tab/>
      </w:r>
      <w:r w:rsidRPr="003342D2">
        <w:rPr>
          <w:rFonts w:cstheme="minorHAnsi"/>
          <w:szCs w:val="24"/>
        </w:rPr>
        <w:t xml:space="preserve">of St. Louis; https://fred.stlouisfed.org/series/RGDPNAMXA666NRUG, November 02, </w:t>
      </w:r>
      <w:r>
        <w:rPr>
          <w:rFonts w:cstheme="minorHAnsi"/>
          <w:szCs w:val="24"/>
        </w:rPr>
        <w:tab/>
      </w:r>
      <w:r w:rsidRPr="003342D2">
        <w:rPr>
          <w:rFonts w:cstheme="minorHAnsi"/>
          <w:szCs w:val="24"/>
        </w:rPr>
        <w:t>2022.</w:t>
      </w:r>
    </w:p>
    <w:p w14:paraId="73E88B75" w14:textId="6DD3448D" w:rsidR="003342D2" w:rsidRDefault="003342D2" w:rsidP="007324BA">
      <w:pPr>
        <w:rPr>
          <w:rFonts w:cstheme="minorHAnsi"/>
          <w:szCs w:val="24"/>
        </w:rPr>
      </w:pPr>
      <w:r w:rsidRPr="003342D2">
        <w:rPr>
          <w:rFonts w:cstheme="minorHAnsi"/>
          <w:szCs w:val="24"/>
        </w:rPr>
        <w:t xml:space="preserve">University of Groningen and University of California, Davis, </w:t>
      </w:r>
      <w:r w:rsidR="00BC2CD2">
        <w:rPr>
          <w:rFonts w:cstheme="minorHAnsi"/>
          <w:szCs w:val="24"/>
        </w:rPr>
        <w:t>“</w:t>
      </w:r>
      <w:r w:rsidRPr="003342D2">
        <w:rPr>
          <w:rFonts w:cstheme="minorHAnsi"/>
          <w:szCs w:val="24"/>
        </w:rPr>
        <w:t xml:space="preserve">Real GDP at Constant National </w:t>
      </w:r>
      <w:r>
        <w:rPr>
          <w:rFonts w:cstheme="minorHAnsi"/>
          <w:szCs w:val="24"/>
        </w:rPr>
        <w:tab/>
      </w:r>
      <w:r w:rsidRPr="003342D2">
        <w:rPr>
          <w:rFonts w:cstheme="minorHAnsi"/>
          <w:szCs w:val="24"/>
        </w:rPr>
        <w:t>Prices for United States [RGDPNAUSA666NRUG]</w:t>
      </w:r>
      <w:r w:rsidR="00BC2CD2">
        <w:rPr>
          <w:rFonts w:cstheme="minorHAnsi"/>
          <w:szCs w:val="24"/>
        </w:rPr>
        <w:t>”</w:t>
      </w:r>
      <w:r w:rsidRPr="003342D2">
        <w:rPr>
          <w:rFonts w:cstheme="minorHAnsi"/>
          <w:szCs w:val="24"/>
        </w:rPr>
        <w:t xml:space="preserve">, retrieved from FRED, Federal Reserve </w:t>
      </w:r>
      <w:r>
        <w:rPr>
          <w:rFonts w:cstheme="minorHAnsi"/>
          <w:szCs w:val="24"/>
        </w:rPr>
        <w:tab/>
      </w:r>
      <w:r w:rsidRPr="003342D2">
        <w:rPr>
          <w:rFonts w:cstheme="minorHAnsi"/>
          <w:szCs w:val="24"/>
        </w:rPr>
        <w:t xml:space="preserve">Bank of St. Louis; https://fred.stlouisfed.org/series/RGDPNAUSA666NRUG, November </w:t>
      </w:r>
      <w:r>
        <w:rPr>
          <w:rFonts w:cstheme="minorHAnsi"/>
          <w:szCs w:val="24"/>
        </w:rPr>
        <w:tab/>
      </w:r>
      <w:r w:rsidRPr="003342D2">
        <w:rPr>
          <w:rFonts w:cstheme="minorHAnsi"/>
          <w:szCs w:val="24"/>
        </w:rPr>
        <w:t>02, 2022.</w:t>
      </w:r>
    </w:p>
    <w:p w14:paraId="5CF9C53D" w14:textId="1DC546E9" w:rsidR="00494406" w:rsidRDefault="00494406" w:rsidP="007324BA">
      <w:pPr>
        <w:rPr>
          <w:rFonts w:cstheme="minorHAnsi"/>
          <w:szCs w:val="24"/>
        </w:rPr>
      </w:pPr>
      <w:r w:rsidRPr="00494406">
        <w:rPr>
          <w:rFonts w:cstheme="minorHAnsi"/>
          <w:szCs w:val="24"/>
        </w:rPr>
        <w:t xml:space="preserve">U.S. Bureau of Labor Statistics, “Civilian Labor Force Level [CLF16OV]”, retrieved from FRED, </w:t>
      </w:r>
      <w:r>
        <w:rPr>
          <w:rFonts w:cstheme="minorHAnsi"/>
          <w:szCs w:val="24"/>
        </w:rPr>
        <w:tab/>
      </w:r>
      <w:r w:rsidRPr="00494406">
        <w:rPr>
          <w:rFonts w:cstheme="minorHAnsi"/>
          <w:szCs w:val="24"/>
        </w:rPr>
        <w:t xml:space="preserve">Federal Reserve Bank of St. Louis; </w:t>
      </w:r>
      <w:hyperlink r:id="rId14" w:history="1">
        <w:r w:rsidRPr="00664CCE">
          <w:rPr>
            <w:rStyle w:val="Hyperlink"/>
            <w:rFonts w:cstheme="minorHAnsi"/>
            <w:color w:val="auto"/>
            <w:szCs w:val="24"/>
            <w:u w:val="none"/>
          </w:rPr>
          <w:t>https://fred.stlouisfed.org/series/CLF16OV</w:t>
        </w:r>
      </w:hyperlink>
      <w:r w:rsidRPr="00664CCE">
        <w:rPr>
          <w:rFonts w:cstheme="minorHAnsi"/>
          <w:szCs w:val="24"/>
        </w:rPr>
        <w:t>,</w:t>
      </w:r>
      <w:r w:rsidRPr="002E62EE">
        <w:rPr>
          <w:rFonts w:cstheme="minorHAnsi"/>
          <w:szCs w:val="24"/>
        </w:rPr>
        <w:t xml:space="preserve"> </w:t>
      </w:r>
      <w:r>
        <w:rPr>
          <w:rFonts w:cstheme="minorHAnsi"/>
          <w:szCs w:val="24"/>
        </w:rPr>
        <w:tab/>
      </w:r>
      <w:r w:rsidRPr="00494406">
        <w:rPr>
          <w:rFonts w:cstheme="minorHAnsi"/>
          <w:szCs w:val="24"/>
        </w:rPr>
        <w:t>November 11, 2022.</w:t>
      </w:r>
    </w:p>
    <w:p w14:paraId="2932A74B" w14:textId="77777777" w:rsidR="007C6D21" w:rsidRDefault="007C6D21" w:rsidP="007324BA">
      <w:pPr>
        <w:rPr>
          <w:rFonts w:cstheme="minorHAnsi"/>
          <w:color w:val="0563C1" w:themeColor="hyperlink"/>
          <w:szCs w:val="24"/>
          <w:u w:val="single"/>
        </w:rPr>
      </w:pPr>
      <w:r w:rsidRPr="007324BA">
        <w:rPr>
          <w:rFonts w:cstheme="minorHAnsi"/>
          <w:szCs w:val="24"/>
        </w:rPr>
        <w:t xml:space="preserve">USCOC. "The Facts on NAFTA: Assessing Two Decades of Gains in Trade, Growth, and Jobs." </w:t>
      </w:r>
      <w:r w:rsidRPr="007324BA">
        <w:rPr>
          <w:rFonts w:cstheme="minorHAnsi"/>
          <w:i/>
          <w:iCs/>
          <w:szCs w:val="24"/>
        </w:rPr>
        <w:t xml:space="preserve">U.S. </w:t>
      </w:r>
      <w:r w:rsidRPr="007324BA">
        <w:rPr>
          <w:rFonts w:cstheme="minorHAnsi"/>
          <w:i/>
          <w:iCs/>
          <w:szCs w:val="24"/>
        </w:rPr>
        <w:tab/>
        <w:t>Chamber of Commerce.</w:t>
      </w:r>
      <w:r w:rsidRPr="007324BA">
        <w:rPr>
          <w:rFonts w:cstheme="minorHAnsi"/>
          <w:szCs w:val="24"/>
        </w:rPr>
        <w:t xml:space="preserve">, 8 March 2017, </w:t>
      </w:r>
      <w:r w:rsidRPr="007324BA">
        <w:rPr>
          <w:rFonts w:cstheme="minorHAnsi"/>
          <w:szCs w:val="24"/>
        </w:rPr>
        <w:tab/>
      </w:r>
      <w:hyperlink r:id="rId15" w:history="1">
        <w:r w:rsidRPr="00664CCE">
          <w:rPr>
            <w:rFonts w:cstheme="minorHAnsi"/>
            <w:szCs w:val="24"/>
          </w:rPr>
          <w:t>https://www.uschamber.com/sites/default/files/the_facts_on_nafta_-_2017.pdf</w:t>
        </w:r>
      </w:hyperlink>
      <w:r w:rsidRPr="00664CCE">
        <w:rPr>
          <w:rFonts w:cstheme="minorHAnsi"/>
          <w:szCs w:val="24"/>
        </w:rPr>
        <w:t>.</w:t>
      </w:r>
    </w:p>
    <w:p w14:paraId="07C1E001" w14:textId="196456EE" w:rsidR="00812E36" w:rsidRDefault="00812E36" w:rsidP="007324BA">
      <w:pPr>
        <w:rPr>
          <w:rFonts w:cstheme="minorHAnsi"/>
          <w:szCs w:val="24"/>
        </w:rPr>
      </w:pPr>
      <w:r w:rsidRPr="00812E36">
        <w:rPr>
          <w:rFonts w:cstheme="minorHAnsi"/>
          <w:szCs w:val="24"/>
        </w:rPr>
        <w:t xml:space="preserve">U.S. Department of Commerce. “U.S. Merchandise Trade with Top 15 Single-Country Trading </w:t>
      </w:r>
      <w:r>
        <w:rPr>
          <w:rFonts w:cstheme="minorHAnsi"/>
          <w:szCs w:val="24"/>
        </w:rPr>
        <w:tab/>
      </w:r>
      <w:r w:rsidRPr="00812E36">
        <w:rPr>
          <w:rFonts w:cstheme="minorHAnsi"/>
          <w:szCs w:val="24"/>
        </w:rPr>
        <w:t xml:space="preserve">Partners, 2019”, United States International Trade Commission, 4 Dec. 2020, </w:t>
      </w:r>
      <w:r>
        <w:rPr>
          <w:rFonts w:cstheme="minorHAnsi"/>
          <w:szCs w:val="24"/>
        </w:rPr>
        <w:tab/>
      </w:r>
      <w:r w:rsidRPr="00812E36">
        <w:rPr>
          <w:rFonts w:cstheme="minorHAnsi"/>
          <w:szCs w:val="24"/>
        </w:rPr>
        <w:t xml:space="preserve">https://www.usitc.gov/publications/332/appendixa.html. </w:t>
      </w:r>
    </w:p>
    <w:p w14:paraId="05D47950" w14:textId="16C46776" w:rsidR="007324BA" w:rsidRPr="007324BA" w:rsidRDefault="007324BA" w:rsidP="007324BA">
      <w:pPr>
        <w:rPr>
          <w:rFonts w:cstheme="minorHAnsi"/>
          <w:szCs w:val="24"/>
        </w:rPr>
      </w:pPr>
      <w:r w:rsidRPr="007324BA">
        <w:rPr>
          <w:rFonts w:cstheme="minorHAnsi"/>
          <w:szCs w:val="24"/>
        </w:rPr>
        <w:t xml:space="preserve">Villareal, M. Angeles, and Fergusson Ian F. "The North American Free Trade Agreement </w:t>
      </w:r>
      <w:r w:rsidR="00D16D6D">
        <w:rPr>
          <w:rFonts w:cstheme="minorHAnsi"/>
          <w:szCs w:val="24"/>
        </w:rPr>
        <w:tab/>
      </w:r>
      <w:r w:rsidRPr="007324BA">
        <w:rPr>
          <w:rFonts w:cstheme="minorHAnsi"/>
          <w:szCs w:val="24"/>
        </w:rPr>
        <w:t xml:space="preserve">(NAFTA)." </w:t>
      </w:r>
      <w:r w:rsidRPr="007324BA">
        <w:rPr>
          <w:rFonts w:cstheme="minorHAnsi"/>
          <w:i/>
          <w:iCs/>
          <w:szCs w:val="24"/>
        </w:rPr>
        <w:t xml:space="preserve">The </w:t>
      </w:r>
      <w:r w:rsidRPr="007324BA">
        <w:rPr>
          <w:rFonts w:cstheme="minorHAnsi"/>
          <w:i/>
          <w:iCs/>
          <w:szCs w:val="24"/>
        </w:rPr>
        <w:tab/>
        <w:t>North American Free Trade Agreement (NAFTA)</w:t>
      </w:r>
      <w:r w:rsidRPr="007324BA">
        <w:rPr>
          <w:rFonts w:cstheme="minorHAnsi"/>
          <w:szCs w:val="24"/>
        </w:rPr>
        <w:t xml:space="preserve">. 24 May 2017, </w:t>
      </w:r>
      <w:r w:rsidRPr="007324BA">
        <w:rPr>
          <w:rFonts w:cstheme="minorHAnsi"/>
          <w:szCs w:val="24"/>
        </w:rPr>
        <w:tab/>
      </w:r>
      <w:hyperlink r:id="rId16" w:history="1">
        <w:r w:rsidRPr="00664CCE">
          <w:rPr>
            <w:rFonts w:cstheme="minorHAnsi"/>
            <w:szCs w:val="24"/>
          </w:rPr>
          <w:t>https://digitalcommons.ilr.cornell.edu/key_workplace/1937</w:t>
        </w:r>
      </w:hyperlink>
      <w:r w:rsidRPr="00664CCE">
        <w:rPr>
          <w:rFonts w:cstheme="minorHAnsi"/>
          <w:szCs w:val="24"/>
        </w:rPr>
        <w:t>.</w:t>
      </w:r>
    </w:p>
    <w:p w14:paraId="4DA623CE" w14:textId="05C8A68F" w:rsidR="009C667A" w:rsidRPr="00C100F8" w:rsidRDefault="008208E7" w:rsidP="00C100F8">
      <w:pPr>
        <w:rPr>
          <w:rFonts w:cstheme="minorHAnsi"/>
          <w:szCs w:val="24"/>
        </w:rPr>
      </w:pPr>
      <w:r w:rsidRPr="008208E7">
        <w:rPr>
          <w:rFonts w:cstheme="minorHAnsi"/>
          <w:szCs w:val="24"/>
        </w:rPr>
        <w:t xml:space="preserve">World Bank, SL.TLF.TOTL.IN, “Labor force, total – Mexico”, retrieved from The World Bank, </w:t>
      </w:r>
      <w:r>
        <w:rPr>
          <w:rFonts w:cstheme="minorHAnsi"/>
          <w:szCs w:val="24"/>
        </w:rPr>
        <w:tab/>
      </w:r>
      <w:r w:rsidRPr="008208E7">
        <w:rPr>
          <w:rFonts w:cstheme="minorHAnsi"/>
          <w:szCs w:val="24"/>
        </w:rPr>
        <w:t>https://data.worldbank.org/indicator/SL.TLF.TOTL.IN?locations=MX, November 11,</w:t>
      </w:r>
      <w:r w:rsidR="00C64D9E">
        <w:rPr>
          <w:rFonts w:cstheme="minorHAnsi"/>
          <w:szCs w:val="24"/>
        </w:rPr>
        <w:t xml:space="preserve"> </w:t>
      </w:r>
      <w:r w:rsidR="00C64D9E">
        <w:rPr>
          <w:rFonts w:cstheme="minorHAnsi"/>
          <w:szCs w:val="24"/>
        </w:rPr>
        <w:tab/>
      </w:r>
      <w:r w:rsidRPr="008208E7">
        <w:rPr>
          <w:rFonts w:cstheme="minorHAnsi"/>
          <w:szCs w:val="24"/>
        </w:rPr>
        <w:t>2022.</w:t>
      </w:r>
    </w:p>
    <w:sectPr w:rsidR="009C667A" w:rsidRPr="00C100F8">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35267" w14:textId="77777777" w:rsidR="00674AB6" w:rsidRDefault="00674AB6" w:rsidP="00E82A82">
      <w:pPr>
        <w:spacing w:after="0" w:line="240" w:lineRule="auto"/>
      </w:pPr>
      <w:r>
        <w:separator/>
      </w:r>
    </w:p>
  </w:endnote>
  <w:endnote w:type="continuationSeparator" w:id="0">
    <w:p w14:paraId="24F57650" w14:textId="77777777" w:rsidR="00674AB6" w:rsidRDefault="00674AB6" w:rsidP="00E8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3C9F" w14:textId="77777777" w:rsidR="00674AB6" w:rsidRDefault="00674AB6" w:rsidP="00E82A82">
      <w:pPr>
        <w:spacing w:after="0" w:line="240" w:lineRule="auto"/>
      </w:pPr>
      <w:r>
        <w:separator/>
      </w:r>
    </w:p>
  </w:footnote>
  <w:footnote w:type="continuationSeparator" w:id="0">
    <w:p w14:paraId="1A4E8B08" w14:textId="77777777" w:rsidR="00674AB6" w:rsidRDefault="00674AB6" w:rsidP="00E82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E8B64" w14:textId="03650C59" w:rsidR="00970133" w:rsidRDefault="00970133">
    <w:pPr>
      <w:pStyle w:val="Header"/>
      <w:jc w:val="right"/>
    </w:pPr>
    <w:r>
      <w:t xml:space="preserve">Dominguez </w:t>
    </w:r>
    <w:sdt>
      <w:sdtPr>
        <w:id w:val="-3303649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63BB49" w14:textId="77777777" w:rsidR="00970133" w:rsidRDefault="00970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25E9B"/>
    <w:multiLevelType w:val="hybridMultilevel"/>
    <w:tmpl w:val="B2A29A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20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32"/>
    <w:rsid w:val="00011A4C"/>
    <w:rsid w:val="00014B5C"/>
    <w:rsid w:val="00024F05"/>
    <w:rsid w:val="000256FC"/>
    <w:rsid w:val="0002745C"/>
    <w:rsid w:val="00032779"/>
    <w:rsid w:val="00033ADB"/>
    <w:rsid w:val="00033E89"/>
    <w:rsid w:val="000449A7"/>
    <w:rsid w:val="0005110A"/>
    <w:rsid w:val="00051629"/>
    <w:rsid w:val="00051658"/>
    <w:rsid w:val="0005268D"/>
    <w:rsid w:val="00054055"/>
    <w:rsid w:val="00070013"/>
    <w:rsid w:val="000761D8"/>
    <w:rsid w:val="0007668A"/>
    <w:rsid w:val="000766FB"/>
    <w:rsid w:val="000874AC"/>
    <w:rsid w:val="00087C3C"/>
    <w:rsid w:val="00095E91"/>
    <w:rsid w:val="0009657A"/>
    <w:rsid w:val="000B0ED6"/>
    <w:rsid w:val="000B7025"/>
    <w:rsid w:val="000C0987"/>
    <w:rsid w:val="000C2C48"/>
    <w:rsid w:val="000C5C23"/>
    <w:rsid w:val="000C5CA6"/>
    <w:rsid w:val="000C5E80"/>
    <w:rsid w:val="000C7976"/>
    <w:rsid w:val="000D4F25"/>
    <w:rsid w:val="000D5A4C"/>
    <w:rsid w:val="000D7D27"/>
    <w:rsid w:val="000E0417"/>
    <w:rsid w:val="000E35FC"/>
    <w:rsid w:val="000F4124"/>
    <w:rsid w:val="000F54AE"/>
    <w:rsid w:val="00101D9B"/>
    <w:rsid w:val="00105EC1"/>
    <w:rsid w:val="0011072D"/>
    <w:rsid w:val="00113BFF"/>
    <w:rsid w:val="00114904"/>
    <w:rsid w:val="00117473"/>
    <w:rsid w:val="00120DD4"/>
    <w:rsid w:val="00121DD3"/>
    <w:rsid w:val="00123EED"/>
    <w:rsid w:val="00124208"/>
    <w:rsid w:val="001260CC"/>
    <w:rsid w:val="001324EC"/>
    <w:rsid w:val="001352AD"/>
    <w:rsid w:val="00137A40"/>
    <w:rsid w:val="0014286A"/>
    <w:rsid w:val="00145B7F"/>
    <w:rsid w:val="00147770"/>
    <w:rsid w:val="0015457C"/>
    <w:rsid w:val="00162963"/>
    <w:rsid w:val="0016734B"/>
    <w:rsid w:val="001703D3"/>
    <w:rsid w:val="00176A5E"/>
    <w:rsid w:val="00182974"/>
    <w:rsid w:val="00186AFC"/>
    <w:rsid w:val="00187893"/>
    <w:rsid w:val="0019045F"/>
    <w:rsid w:val="00191AD0"/>
    <w:rsid w:val="00192EDC"/>
    <w:rsid w:val="001A0E67"/>
    <w:rsid w:val="001A63C2"/>
    <w:rsid w:val="001A781B"/>
    <w:rsid w:val="001A7F5D"/>
    <w:rsid w:val="001B254F"/>
    <w:rsid w:val="001B25B5"/>
    <w:rsid w:val="001B39B7"/>
    <w:rsid w:val="001B7C72"/>
    <w:rsid w:val="001C1B25"/>
    <w:rsid w:val="001C28E0"/>
    <w:rsid w:val="001C3AA5"/>
    <w:rsid w:val="001C7C3C"/>
    <w:rsid w:val="001D149A"/>
    <w:rsid w:val="001D5DF6"/>
    <w:rsid w:val="001E0CA6"/>
    <w:rsid w:val="001F3730"/>
    <w:rsid w:val="001F548D"/>
    <w:rsid w:val="001F5993"/>
    <w:rsid w:val="00200513"/>
    <w:rsid w:val="00202096"/>
    <w:rsid w:val="002035CA"/>
    <w:rsid w:val="0020373D"/>
    <w:rsid w:val="00210277"/>
    <w:rsid w:val="0021255D"/>
    <w:rsid w:val="002145DA"/>
    <w:rsid w:val="00214615"/>
    <w:rsid w:val="0022166B"/>
    <w:rsid w:val="002249AA"/>
    <w:rsid w:val="00231CDB"/>
    <w:rsid w:val="00231DEC"/>
    <w:rsid w:val="00231F96"/>
    <w:rsid w:val="002400A4"/>
    <w:rsid w:val="00240755"/>
    <w:rsid w:val="00245AB2"/>
    <w:rsid w:val="0024720B"/>
    <w:rsid w:val="00251C7E"/>
    <w:rsid w:val="0025201E"/>
    <w:rsid w:val="00255E25"/>
    <w:rsid w:val="00260D1E"/>
    <w:rsid w:val="00261369"/>
    <w:rsid w:val="00261BDA"/>
    <w:rsid w:val="00280D36"/>
    <w:rsid w:val="002814BC"/>
    <w:rsid w:val="002830D1"/>
    <w:rsid w:val="002842E1"/>
    <w:rsid w:val="002855B6"/>
    <w:rsid w:val="00285DCC"/>
    <w:rsid w:val="002A2D8B"/>
    <w:rsid w:val="002A3E66"/>
    <w:rsid w:val="002A526E"/>
    <w:rsid w:val="002B0608"/>
    <w:rsid w:val="002B10F9"/>
    <w:rsid w:val="002B2AF7"/>
    <w:rsid w:val="002B34BC"/>
    <w:rsid w:val="002C7410"/>
    <w:rsid w:val="002D0FCE"/>
    <w:rsid w:val="002D3CB2"/>
    <w:rsid w:val="002D64B6"/>
    <w:rsid w:val="002E3814"/>
    <w:rsid w:val="002E42A9"/>
    <w:rsid w:val="002E62EE"/>
    <w:rsid w:val="0030096D"/>
    <w:rsid w:val="00302507"/>
    <w:rsid w:val="00305026"/>
    <w:rsid w:val="0030703F"/>
    <w:rsid w:val="003102BD"/>
    <w:rsid w:val="003153F1"/>
    <w:rsid w:val="0031573E"/>
    <w:rsid w:val="0032538B"/>
    <w:rsid w:val="003271C0"/>
    <w:rsid w:val="00333BBF"/>
    <w:rsid w:val="003342D2"/>
    <w:rsid w:val="00334302"/>
    <w:rsid w:val="0033550A"/>
    <w:rsid w:val="00340DED"/>
    <w:rsid w:val="00344341"/>
    <w:rsid w:val="00345A54"/>
    <w:rsid w:val="00346670"/>
    <w:rsid w:val="0034670E"/>
    <w:rsid w:val="003509A8"/>
    <w:rsid w:val="003559A6"/>
    <w:rsid w:val="0035629C"/>
    <w:rsid w:val="00362076"/>
    <w:rsid w:val="00366281"/>
    <w:rsid w:val="00372A06"/>
    <w:rsid w:val="00373A70"/>
    <w:rsid w:val="003759A4"/>
    <w:rsid w:val="00376C74"/>
    <w:rsid w:val="003778F0"/>
    <w:rsid w:val="00391151"/>
    <w:rsid w:val="00394D5B"/>
    <w:rsid w:val="0039771D"/>
    <w:rsid w:val="003A0667"/>
    <w:rsid w:val="003B0928"/>
    <w:rsid w:val="003B7CCD"/>
    <w:rsid w:val="003C31DE"/>
    <w:rsid w:val="003C32E7"/>
    <w:rsid w:val="003C6DFE"/>
    <w:rsid w:val="003D4320"/>
    <w:rsid w:val="003D55C3"/>
    <w:rsid w:val="003E1D09"/>
    <w:rsid w:val="003E5FC2"/>
    <w:rsid w:val="003E66A8"/>
    <w:rsid w:val="003F4BAD"/>
    <w:rsid w:val="00404D4A"/>
    <w:rsid w:val="00413C18"/>
    <w:rsid w:val="004144CE"/>
    <w:rsid w:val="004211CC"/>
    <w:rsid w:val="00422469"/>
    <w:rsid w:val="00426435"/>
    <w:rsid w:val="00436B28"/>
    <w:rsid w:val="00436D75"/>
    <w:rsid w:val="00437894"/>
    <w:rsid w:val="00443676"/>
    <w:rsid w:val="00454456"/>
    <w:rsid w:val="00455E8B"/>
    <w:rsid w:val="00461092"/>
    <w:rsid w:val="00461DE8"/>
    <w:rsid w:val="00462771"/>
    <w:rsid w:val="004642FA"/>
    <w:rsid w:val="00467CF9"/>
    <w:rsid w:val="00471C0E"/>
    <w:rsid w:val="004800C3"/>
    <w:rsid w:val="00490243"/>
    <w:rsid w:val="00494406"/>
    <w:rsid w:val="004944A0"/>
    <w:rsid w:val="00494DD6"/>
    <w:rsid w:val="004966EF"/>
    <w:rsid w:val="004A672B"/>
    <w:rsid w:val="004A70EF"/>
    <w:rsid w:val="004A7195"/>
    <w:rsid w:val="004B0DBA"/>
    <w:rsid w:val="004B17AF"/>
    <w:rsid w:val="004B655A"/>
    <w:rsid w:val="004B779F"/>
    <w:rsid w:val="004C029B"/>
    <w:rsid w:val="004C5A47"/>
    <w:rsid w:val="004C7708"/>
    <w:rsid w:val="004D53C4"/>
    <w:rsid w:val="004D5F8A"/>
    <w:rsid w:val="004E1C8E"/>
    <w:rsid w:val="004E35B6"/>
    <w:rsid w:val="004F42A4"/>
    <w:rsid w:val="004F57C6"/>
    <w:rsid w:val="004F63DA"/>
    <w:rsid w:val="005019C0"/>
    <w:rsid w:val="00501C00"/>
    <w:rsid w:val="0050743C"/>
    <w:rsid w:val="00510095"/>
    <w:rsid w:val="005114D0"/>
    <w:rsid w:val="00514AC4"/>
    <w:rsid w:val="00531696"/>
    <w:rsid w:val="0053377E"/>
    <w:rsid w:val="00536DF3"/>
    <w:rsid w:val="005543D7"/>
    <w:rsid w:val="00554983"/>
    <w:rsid w:val="00561C69"/>
    <w:rsid w:val="00565A79"/>
    <w:rsid w:val="00570E30"/>
    <w:rsid w:val="0057146A"/>
    <w:rsid w:val="0057735B"/>
    <w:rsid w:val="0058400A"/>
    <w:rsid w:val="0058487C"/>
    <w:rsid w:val="00591D3B"/>
    <w:rsid w:val="005920D4"/>
    <w:rsid w:val="0059243B"/>
    <w:rsid w:val="005A5F4C"/>
    <w:rsid w:val="005A6257"/>
    <w:rsid w:val="005C13FF"/>
    <w:rsid w:val="005C244A"/>
    <w:rsid w:val="005C27E7"/>
    <w:rsid w:val="005C2E75"/>
    <w:rsid w:val="005C4695"/>
    <w:rsid w:val="005C71C4"/>
    <w:rsid w:val="005D044D"/>
    <w:rsid w:val="005D3D6E"/>
    <w:rsid w:val="005D7A96"/>
    <w:rsid w:val="00603B68"/>
    <w:rsid w:val="006064E3"/>
    <w:rsid w:val="00613284"/>
    <w:rsid w:val="00617EF4"/>
    <w:rsid w:val="00630D32"/>
    <w:rsid w:val="00630D4A"/>
    <w:rsid w:val="0063261D"/>
    <w:rsid w:val="006345E6"/>
    <w:rsid w:val="0063543C"/>
    <w:rsid w:val="00636714"/>
    <w:rsid w:val="00637665"/>
    <w:rsid w:val="00637ABF"/>
    <w:rsid w:val="00640515"/>
    <w:rsid w:val="00643242"/>
    <w:rsid w:val="0064429D"/>
    <w:rsid w:val="00646154"/>
    <w:rsid w:val="00646F17"/>
    <w:rsid w:val="00650032"/>
    <w:rsid w:val="00654B1B"/>
    <w:rsid w:val="00655CE6"/>
    <w:rsid w:val="00664CCE"/>
    <w:rsid w:val="00671E60"/>
    <w:rsid w:val="00672B6B"/>
    <w:rsid w:val="00674605"/>
    <w:rsid w:val="00674AB6"/>
    <w:rsid w:val="00675E3D"/>
    <w:rsid w:val="00676B6D"/>
    <w:rsid w:val="00677667"/>
    <w:rsid w:val="0067799A"/>
    <w:rsid w:val="00683321"/>
    <w:rsid w:val="006930BA"/>
    <w:rsid w:val="00693E95"/>
    <w:rsid w:val="006947F7"/>
    <w:rsid w:val="006A3AD7"/>
    <w:rsid w:val="006B4EAA"/>
    <w:rsid w:val="006C278E"/>
    <w:rsid w:val="006D03B9"/>
    <w:rsid w:val="006D217C"/>
    <w:rsid w:val="006D4B97"/>
    <w:rsid w:val="006D5290"/>
    <w:rsid w:val="006D74DB"/>
    <w:rsid w:val="006E0BA8"/>
    <w:rsid w:val="006E45F4"/>
    <w:rsid w:val="006F091B"/>
    <w:rsid w:val="007017C5"/>
    <w:rsid w:val="00707EF4"/>
    <w:rsid w:val="007146BF"/>
    <w:rsid w:val="00715BE3"/>
    <w:rsid w:val="0071605D"/>
    <w:rsid w:val="0072093B"/>
    <w:rsid w:val="007221C4"/>
    <w:rsid w:val="0072256E"/>
    <w:rsid w:val="00723E49"/>
    <w:rsid w:val="007324BA"/>
    <w:rsid w:val="00753808"/>
    <w:rsid w:val="007642B1"/>
    <w:rsid w:val="007672D1"/>
    <w:rsid w:val="00770970"/>
    <w:rsid w:val="0077165E"/>
    <w:rsid w:val="00772212"/>
    <w:rsid w:val="0077544B"/>
    <w:rsid w:val="007762A9"/>
    <w:rsid w:val="00777ACB"/>
    <w:rsid w:val="0078028C"/>
    <w:rsid w:val="0078039E"/>
    <w:rsid w:val="00784022"/>
    <w:rsid w:val="007846A6"/>
    <w:rsid w:val="00787CBE"/>
    <w:rsid w:val="00790830"/>
    <w:rsid w:val="007A014F"/>
    <w:rsid w:val="007A4201"/>
    <w:rsid w:val="007C1E31"/>
    <w:rsid w:val="007C6C05"/>
    <w:rsid w:val="007C6D21"/>
    <w:rsid w:val="007D12E9"/>
    <w:rsid w:val="007D5A11"/>
    <w:rsid w:val="007E3995"/>
    <w:rsid w:val="007F2E2D"/>
    <w:rsid w:val="007F33D4"/>
    <w:rsid w:val="007F4210"/>
    <w:rsid w:val="007F48EF"/>
    <w:rsid w:val="007F52D7"/>
    <w:rsid w:val="00812E36"/>
    <w:rsid w:val="008203EC"/>
    <w:rsid w:val="008208E7"/>
    <w:rsid w:val="008245D8"/>
    <w:rsid w:val="00824755"/>
    <w:rsid w:val="00824CD1"/>
    <w:rsid w:val="00834E27"/>
    <w:rsid w:val="00844672"/>
    <w:rsid w:val="0084564C"/>
    <w:rsid w:val="008479B8"/>
    <w:rsid w:val="00851918"/>
    <w:rsid w:val="00851EC6"/>
    <w:rsid w:val="008577D3"/>
    <w:rsid w:val="00860FEB"/>
    <w:rsid w:val="008639DA"/>
    <w:rsid w:val="00863C0A"/>
    <w:rsid w:val="00870CB4"/>
    <w:rsid w:val="00876025"/>
    <w:rsid w:val="0088078A"/>
    <w:rsid w:val="00881D12"/>
    <w:rsid w:val="008835DF"/>
    <w:rsid w:val="00891B55"/>
    <w:rsid w:val="008928B7"/>
    <w:rsid w:val="00892CBF"/>
    <w:rsid w:val="00893779"/>
    <w:rsid w:val="0089382E"/>
    <w:rsid w:val="008941BB"/>
    <w:rsid w:val="00897577"/>
    <w:rsid w:val="008A24E6"/>
    <w:rsid w:val="008C21C7"/>
    <w:rsid w:val="008D0BC2"/>
    <w:rsid w:val="008E43B5"/>
    <w:rsid w:val="008F5C63"/>
    <w:rsid w:val="008F68AB"/>
    <w:rsid w:val="009029DC"/>
    <w:rsid w:val="009077AB"/>
    <w:rsid w:val="00916A2C"/>
    <w:rsid w:val="0093112C"/>
    <w:rsid w:val="00931827"/>
    <w:rsid w:val="00931FE0"/>
    <w:rsid w:val="009335AC"/>
    <w:rsid w:val="00936E06"/>
    <w:rsid w:val="00937AD2"/>
    <w:rsid w:val="00937FCA"/>
    <w:rsid w:val="00945B50"/>
    <w:rsid w:val="00946A60"/>
    <w:rsid w:val="00951BCD"/>
    <w:rsid w:val="009544AE"/>
    <w:rsid w:val="00957F02"/>
    <w:rsid w:val="00961E25"/>
    <w:rsid w:val="009626B5"/>
    <w:rsid w:val="00962B94"/>
    <w:rsid w:val="00970133"/>
    <w:rsid w:val="00981120"/>
    <w:rsid w:val="00982851"/>
    <w:rsid w:val="00982B1F"/>
    <w:rsid w:val="00993CB3"/>
    <w:rsid w:val="00995B3A"/>
    <w:rsid w:val="00996B5E"/>
    <w:rsid w:val="00996CF2"/>
    <w:rsid w:val="009A0EA4"/>
    <w:rsid w:val="009A569B"/>
    <w:rsid w:val="009A6003"/>
    <w:rsid w:val="009B337B"/>
    <w:rsid w:val="009B4A3E"/>
    <w:rsid w:val="009B4F0D"/>
    <w:rsid w:val="009B64E4"/>
    <w:rsid w:val="009C261D"/>
    <w:rsid w:val="009C667A"/>
    <w:rsid w:val="009D126D"/>
    <w:rsid w:val="009D1F28"/>
    <w:rsid w:val="009E1BD7"/>
    <w:rsid w:val="009E7F1B"/>
    <w:rsid w:val="009F2C2E"/>
    <w:rsid w:val="009F7E51"/>
    <w:rsid w:val="00A00E82"/>
    <w:rsid w:val="00A06445"/>
    <w:rsid w:val="00A06F87"/>
    <w:rsid w:val="00A07A2D"/>
    <w:rsid w:val="00A134E9"/>
    <w:rsid w:val="00A13BBD"/>
    <w:rsid w:val="00A14B24"/>
    <w:rsid w:val="00A225D9"/>
    <w:rsid w:val="00A2583E"/>
    <w:rsid w:val="00A333DF"/>
    <w:rsid w:val="00A419E1"/>
    <w:rsid w:val="00A45228"/>
    <w:rsid w:val="00A45F3D"/>
    <w:rsid w:val="00A51A2B"/>
    <w:rsid w:val="00A54186"/>
    <w:rsid w:val="00A64467"/>
    <w:rsid w:val="00A65083"/>
    <w:rsid w:val="00A66569"/>
    <w:rsid w:val="00A67DC2"/>
    <w:rsid w:val="00A7501A"/>
    <w:rsid w:val="00A7668D"/>
    <w:rsid w:val="00A82BD4"/>
    <w:rsid w:val="00A90DD9"/>
    <w:rsid w:val="00A97AB7"/>
    <w:rsid w:val="00AA33BC"/>
    <w:rsid w:val="00AA56D5"/>
    <w:rsid w:val="00AA734E"/>
    <w:rsid w:val="00AA7D01"/>
    <w:rsid w:val="00AB1157"/>
    <w:rsid w:val="00AB121B"/>
    <w:rsid w:val="00AB1B0D"/>
    <w:rsid w:val="00AB5A7C"/>
    <w:rsid w:val="00AC157F"/>
    <w:rsid w:val="00AC261A"/>
    <w:rsid w:val="00AD03C6"/>
    <w:rsid w:val="00AD37CB"/>
    <w:rsid w:val="00AD52AC"/>
    <w:rsid w:val="00AE322F"/>
    <w:rsid w:val="00AE341B"/>
    <w:rsid w:val="00AF28C7"/>
    <w:rsid w:val="00AF74B2"/>
    <w:rsid w:val="00AF7D64"/>
    <w:rsid w:val="00B121C7"/>
    <w:rsid w:val="00B12D3B"/>
    <w:rsid w:val="00B16D84"/>
    <w:rsid w:val="00B25204"/>
    <w:rsid w:val="00B26579"/>
    <w:rsid w:val="00B27B86"/>
    <w:rsid w:val="00B43341"/>
    <w:rsid w:val="00B455BB"/>
    <w:rsid w:val="00B51A2B"/>
    <w:rsid w:val="00B54494"/>
    <w:rsid w:val="00B55089"/>
    <w:rsid w:val="00B57FB2"/>
    <w:rsid w:val="00B60E84"/>
    <w:rsid w:val="00B636D7"/>
    <w:rsid w:val="00B70BEE"/>
    <w:rsid w:val="00B74F44"/>
    <w:rsid w:val="00B77870"/>
    <w:rsid w:val="00B779C3"/>
    <w:rsid w:val="00B93008"/>
    <w:rsid w:val="00B93FCA"/>
    <w:rsid w:val="00B9655F"/>
    <w:rsid w:val="00BA07AD"/>
    <w:rsid w:val="00BA15B3"/>
    <w:rsid w:val="00BA328E"/>
    <w:rsid w:val="00BA4250"/>
    <w:rsid w:val="00BA62C2"/>
    <w:rsid w:val="00BA7E4C"/>
    <w:rsid w:val="00BB1B5B"/>
    <w:rsid w:val="00BB39EA"/>
    <w:rsid w:val="00BB72D9"/>
    <w:rsid w:val="00BC0A91"/>
    <w:rsid w:val="00BC185B"/>
    <w:rsid w:val="00BC2CD2"/>
    <w:rsid w:val="00BC4E34"/>
    <w:rsid w:val="00BC6F2E"/>
    <w:rsid w:val="00BC7BF1"/>
    <w:rsid w:val="00BD460D"/>
    <w:rsid w:val="00BE1FFC"/>
    <w:rsid w:val="00BE77D4"/>
    <w:rsid w:val="00BF0928"/>
    <w:rsid w:val="00BF3F1C"/>
    <w:rsid w:val="00BF470E"/>
    <w:rsid w:val="00BF54C9"/>
    <w:rsid w:val="00BF6F86"/>
    <w:rsid w:val="00C100F8"/>
    <w:rsid w:val="00C118C0"/>
    <w:rsid w:val="00C172FE"/>
    <w:rsid w:val="00C20CDA"/>
    <w:rsid w:val="00C230FE"/>
    <w:rsid w:val="00C23317"/>
    <w:rsid w:val="00C252C4"/>
    <w:rsid w:val="00C41AC5"/>
    <w:rsid w:val="00C446AC"/>
    <w:rsid w:val="00C45F11"/>
    <w:rsid w:val="00C53590"/>
    <w:rsid w:val="00C53A42"/>
    <w:rsid w:val="00C53ABB"/>
    <w:rsid w:val="00C607E1"/>
    <w:rsid w:val="00C609A9"/>
    <w:rsid w:val="00C64D9E"/>
    <w:rsid w:val="00C70190"/>
    <w:rsid w:val="00C8065C"/>
    <w:rsid w:val="00C81C6F"/>
    <w:rsid w:val="00C90155"/>
    <w:rsid w:val="00C93486"/>
    <w:rsid w:val="00CA489A"/>
    <w:rsid w:val="00CB0394"/>
    <w:rsid w:val="00CB2125"/>
    <w:rsid w:val="00CB3C37"/>
    <w:rsid w:val="00CB4A57"/>
    <w:rsid w:val="00CB6891"/>
    <w:rsid w:val="00CB7014"/>
    <w:rsid w:val="00CC2611"/>
    <w:rsid w:val="00CC3193"/>
    <w:rsid w:val="00CD4C63"/>
    <w:rsid w:val="00CD6821"/>
    <w:rsid w:val="00CE4AD7"/>
    <w:rsid w:val="00CE560E"/>
    <w:rsid w:val="00CE5AA7"/>
    <w:rsid w:val="00CE6133"/>
    <w:rsid w:val="00CF1A26"/>
    <w:rsid w:val="00CF7BFE"/>
    <w:rsid w:val="00D02E84"/>
    <w:rsid w:val="00D0353D"/>
    <w:rsid w:val="00D053F4"/>
    <w:rsid w:val="00D07376"/>
    <w:rsid w:val="00D16AA2"/>
    <w:rsid w:val="00D16D6D"/>
    <w:rsid w:val="00D2443C"/>
    <w:rsid w:val="00D25CFD"/>
    <w:rsid w:val="00D26DEF"/>
    <w:rsid w:val="00D30988"/>
    <w:rsid w:val="00D32248"/>
    <w:rsid w:val="00D344D6"/>
    <w:rsid w:val="00D44385"/>
    <w:rsid w:val="00D446E9"/>
    <w:rsid w:val="00D475C6"/>
    <w:rsid w:val="00D51B17"/>
    <w:rsid w:val="00D52065"/>
    <w:rsid w:val="00D54876"/>
    <w:rsid w:val="00D5605A"/>
    <w:rsid w:val="00D60FFA"/>
    <w:rsid w:val="00D66DC6"/>
    <w:rsid w:val="00D67322"/>
    <w:rsid w:val="00D77BF9"/>
    <w:rsid w:val="00D80282"/>
    <w:rsid w:val="00D8316B"/>
    <w:rsid w:val="00D838B0"/>
    <w:rsid w:val="00D856FD"/>
    <w:rsid w:val="00D904B8"/>
    <w:rsid w:val="00D91E67"/>
    <w:rsid w:val="00D92355"/>
    <w:rsid w:val="00DA1327"/>
    <w:rsid w:val="00DA53B0"/>
    <w:rsid w:val="00DB2F29"/>
    <w:rsid w:val="00DB50A5"/>
    <w:rsid w:val="00DB6161"/>
    <w:rsid w:val="00DB6A7A"/>
    <w:rsid w:val="00DC2EB9"/>
    <w:rsid w:val="00DC5878"/>
    <w:rsid w:val="00DC65AE"/>
    <w:rsid w:val="00DC7183"/>
    <w:rsid w:val="00DD4ADD"/>
    <w:rsid w:val="00DF038C"/>
    <w:rsid w:val="00E04523"/>
    <w:rsid w:val="00E05F53"/>
    <w:rsid w:val="00E10BB2"/>
    <w:rsid w:val="00E117EA"/>
    <w:rsid w:val="00E138F3"/>
    <w:rsid w:val="00E15DF2"/>
    <w:rsid w:val="00E15F4C"/>
    <w:rsid w:val="00E17491"/>
    <w:rsid w:val="00E25A44"/>
    <w:rsid w:val="00E36247"/>
    <w:rsid w:val="00E3657D"/>
    <w:rsid w:val="00E43087"/>
    <w:rsid w:val="00E43338"/>
    <w:rsid w:val="00E5172E"/>
    <w:rsid w:val="00E60F31"/>
    <w:rsid w:val="00E67485"/>
    <w:rsid w:val="00E71215"/>
    <w:rsid w:val="00E72006"/>
    <w:rsid w:val="00E72F1D"/>
    <w:rsid w:val="00E73663"/>
    <w:rsid w:val="00E75B9C"/>
    <w:rsid w:val="00E8011E"/>
    <w:rsid w:val="00E80CD2"/>
    <w:rsid w:val="00E81CB7"/>
    <w:rsid w:val="00E82A82"/>
    <w:rsid w:val="00E82AFA"/>
    <w:rsid w:val="00E8349A"/>
    <w:rsid w:val="00E85291"/>
    <w:rsid w:val="00E87FB1"/>
    <w:rsid w:val="00EA5D33"/>
    <w:rsid w:val="00EA6F22"/>
    <w:rsid w:val="00EA72C1"/>
    <w:rsid w:val="00EB3D28"/>
    <w:rsid w:val="00EB5BBD"/>
    <w:rsid w:val="00EC0248"/>
    <w:rsid w:val="00EC07CF"/>
    <w:rsid w:val="00EC1FE7"/>
    <w:rsid w:val="00EC252D"/>
    <w:rsid w:val="00ED13CB"/>
    <w:rsid w:val="00ED42B0"/>
    <w:rsid w:val="00ED50BE"/>
    <w:rsid w:val="00EE75B1"/>
    <w:rsid w:val="00EF2CB7"/>
    <w:rsid w:val="00EF3242"/>
    <w:rsid w:val="00EF6FBF"/>
    <w:rsid w:val="00F070DA"/>
    <w:rsid w:val="00F11C03"/>
    <w:rsid w:val="00F11FAC"/>
    <w:rsid w:val="00F1367D"/>
    <w:rsid w:val="00F15564"/>
    <w:rsid w:val="00F16000"/>
    <w:rsid w:val="00F16909"/>
    <w:rsid w:val="00F222BF"/>
    <w:rsid w:val="00F25BA2"/>
    <w:rsid w:val="00F2649D"/>
    <w:rsid w:val="00F30EED"/>
    <w:rsid w:val="00F43A0A"/>
    <w:rsid w:val="00F44377"/>
    <w:rsid w:val="00F450A8"/>
    <w:rsid w:val="00F474DA"/>
    <w:rsid w:val="00F50920"/>
    <w:rsid w:val="00F51945"/>
    <w:rsid w:val="00F5247C"/>
    <w:rsid w:val="00F63163"/>
    <w:rsid w:val="00F7217A"/>
    <w:rsid w:val="00F75E38"/>
    <w:rsid w:val="00F77A30"/>
    <w:rsid w:val="00F804A8"/>
    <w:rsid w:val="00F8224B"/>
    <w:rsid w:val="00F831BE"/>
    <w:rsid w:val="00F86C44"/>
    <w:rsid w:val="00F86FE2"/>
    <w:rsid w:val="00F8759D"/>
    <w:rsid w:val="00F97022"/>
    <w:rsid w:val="00FA22A7"/>
    <w:rsid w:val="00FB3570"/>
    <w:rsid w:val="00FB4784"/>
    <w:rsid w:val="00FC3EB3"/>
    <w:rsid w:val="00FC565E"/>
    <w:rsid w:val="00FD1AB0"/>
    <w:rsid w:val="00FD55E9"/>
    <w:rsid w:val="00FE041F"/>
    <w:rsid w:val="00FE4950"/>
    <w:rsid w:val="00FE55EB"/>
    <w:rsid w:val="00FE6908"/>
    <w:rsid w:val="00FE7B72"/>
    <w:rsid w:val="00FF3C0D"/>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71EF"/>
  <w15:chartTrackingRefBased/>
  <w15:docId w15:val="{B47BB506-68ED-4F39-82A7-AD602EC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A82"/>
  </w:style>
  <w:style w:type="paragraph" w:styleId="Footer">
    <w:name w:val="footer"/>
    <w:basedOn w:val="Normal"/>
    <w:link w:val="FooterChar"/>
    <w:uiPriority w:val="99"/>
    <w:unhideWhenUsed/>
    <w:rsid w:val="00E82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A82"/>
  </w:style>
  <w:style w:type="character" w:styleId="Hyperlink">
    <w:name w:val="Hyperlink"/>
    <w:basedOn w:val="DefaultParagraphFont"/>
    <w:uiPriority w:val="99"/>
    <w:unhideWhenUsed/>
    <w:rsid w:val="007324BA"/>
    <w:rPr>
      <w:color w:val="0563C1" w:themeColor="hyperlink"/>
      <w:u w:val="single"/>
    </w:rPr>
  </w:style>
  <w:style w:type="character" w:styleId="UnresolvedMention">
    <w:name w:val="Unresolved Mention"/>
    <w:basedOn w:val="DefaultParagraphFont"/>
    <w:uiPriority w:val="99"/>
    <w:semiHidden/>
    <w:unhideWhenUsed/>
    <w:rsid w:val="007324BA"/>
    <w:rPr>
      <w:color w:val="605E5C"/>
      <w:shd w:val="clear" w:color="auto" w:fill="E1DFDD"/>
    </w:rPr>
  </w:style>
  <w:style w:type="paragraph" w:styleId="FootnoteText">
    <w:name w:val="footnote text"/>
    <w:basedOn w:val="Normal"/>
    <w:link w:val="FootnoteTextChar"/>
    <w:uiPriority w:val="99"/>
    <w:semiHidden/>
    <w:unhideWhenUsed/>
    <w:rsid w:val="005316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696"/>
    <w:rPr>
      <w:sz w:val="20"/>
      <w:szCs w:val="20"/>
    </w:rPr>
  </w:style>
  <w:style w:type="character" w:styleId="FootnoteReference">
    <w:name w:val="footnote reference"/>
    <w:basedOn w:val="DefaultParagraphFont"/>
    <w:uiPriority w:val="99"/>
    <w:semiHidden/>
    <w:unhideWhenUsed/>
    <w:rsid w:val="00531696"/>
    <w:rPr>
      <w:vertAlign w:val="superscript"/>
    </w:rPr>
  </w:style>
  <w:style w:type="character" w:styleId="FollowedHyperlink">
    <w:name w:val="FollowedHyperlink"/>
    <w:basedOn w:val="DefaultParagraphFont"/>
    <w:uiPriority w:val="99"/>
    <w:semiHidden/>
    <w:unhideWhenUsed/>
    <w:rsid w:val="00210277"/>
    <w:rPr>
      <w:color w:val="954F72" w:themeColor="followedHyperlink"/>
      <w:u w:val="single"/>
    </w:rPr>
  </w:style>
  <w:style w:type="table" w:styleId="TableGrid">
    <w:name w:val="Table Grid"/>
    <w:basedOn w:val="TableNormal"/>
    <w:uiPriority w:val="39"/>
    <w:rsid w:val="00E05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7689">
      <w:bodyDiv w:val="1"/>
      <w:marLeft w:val="0"/>
      <w:marRight w:val="0"/>
      <w:marTop w:val="0"/>
      <w:marBottom w:val="0"/>
      <w:divBdr>
        <w:top w:val="none" w:sz="0" w:space="0" w:color="auto"/>
        <w:left w:val="none" w:sz="0" w:space="0" w:color="auto"/>
        <w:bottom w:val="none" w:sz="0" w:space="0" w:color="auto"/>
        <w:right w:val="none" w:sz="0" w:space="0" w:color="auto"/>
      </w:divBdr>
    </w:div>
    <w:div w:id="497230029">
      <w:bodyDiv w:val="1"/>
      <w:marLeft w:val="0"/>
      <w:marRight w:val="0"/>
      <w:marTop w:val="0"/>
      <w:marBottom w:val="0"/>
      <w:divBdr>
        <w:top w:val="none" w:sz="0" w:space="0" w:color="auto"/>
        <w:left w:val="none" w:sz="0" w:space="0" w:color="auto"/>
        <w:bottom w:val="none" w:sz="0" w:space="0" w:color="auto"/>
        <w:right w:val="none" w:sz="0" w:space="0" w:color="auto"/>
      </w:divBdr>
    </w:div>
    <w:div w:id="618683095">
      <w:bodyDiv w:val="1"/>
      <w:marLeft w:val="0"/>
      <w:marRight w:val="0"/>
      <w:marTop w:val="0"/>
      <w:marBottom w:val="0"/>
      <w:divBdr>
        <w:top w:val="none" w:sz="0" w:space="0" w:color="auto"/>
        <w:left w:val="none" w:sz="0" w:space="0" w:color="auto"/>
        <w:bottom w:val="none" w:sz="0" w:space="0" w:color="auto"/>
        <w:right w:val="none" w:sz="0" w:space="0" w:color="auto"/>
      </w:divBdr>
    </w:div>
    <w:div w:id="783233307">
      <w:bodyDiv w:val="1"/>
      <w:marLeft w:val="0"/>
      <w:marRight w:val="0"/>
      <w:marTop w:val="0"/>
      <w:marBottom w:val="0"/>
      <w:divBdr>
        <w:top w:val="none" w:sz="0" w:space="0" w:color="auto"/>
        <w:left w:val="none" w:sz="0" w:space="0" w:color="auto"/>
        <w:bottom w:val="none" w:sz="0" w:space="0" w:color="auto"/>
        <w:right w:val="none" w:sz="0" w:space="0" w:color="auto"/>
      </w:divBdr>
    </w:div>
    <w:div w:id="845167144">
      <w:bodyDiv w:val="1"/>
      <w:marLeft w:val="0"/>
      <w:marRight w:val="0"/>
      <w:marTop w:val="0"/>
      <w:marBottom w:val="0"/>
      <w:divBdr>
        <w:top w:val="none" w:sz="0" w:space="0" w:color="auto"/>
        <w:left w:val="none" w:sz="0" w:space="0" w:color="auto"/>
        <w:bottom w:val="none" w:sz="0" w:space="0" w:color="auto"/>
        <w:right w:val="none" w:sz="0" w:space="0" w:color="auto"/>
      </w:divBdr>
    </w:div>
    <w:div w:id="851651403">
      <w:bodyDiv w:val="1"/>
      <w:marLeft w:val="0"/>
      <w:marRight w:val="0"/>
      <w:marTop w:val="0"/>
      <w:marBottom w:val="0"/>
      <w:divBdr>
        <w:top w:val="none" w:sz="0" w:space="0" w:color="auto"/>
        <w:left w:val="none" w:sz="0" w:space="0" w:color="auto"/>
        <w:bottom w:val="none" w:sz="0" w:space="0" w:color="auto"/>
        <w:right w:val="none" w:sz="0" w:space="0" w:color="auto"/>
      </w:divBdr>
    </w:div>
    <w:div w:id="864094131">
      <w:bodyDiv w:val="1"/>
      <w:marLeft w:val="0"/>
      <w:marRight w:val="0"/>
      <w:marTop w:val="0"/>
      <w:marBottom w:val="0"/>
      <w:divBdr>
        <w:top w:val="none" w:sz="0" w:space="0" w:color="auto"/>
        <w:left w:val="none" w:sz="0" w:space="0" w:color="auto"/>
        <w:bottom w:val="none" w:sz="0" w:space="0" w:color="auto"/>
        <w:right w:val="none" w:sz="0" w:space="0" w:color="auto"/>
      </w:divBdr>
    </w:div>
    <w:div w:id="1044409433">
      <w:bodyDiv w:val="1"/>
      <w:marLeft w:val="0"/>
      <w:marRight w:val="0"/>
      <w:marTop w:val="0"/>
      <w:marBottom w:val="0"/>
      <w:divBdr>
        <w:top w:val="none" w:sz="0" w:space="0" w:color="auto"/>
        <w:left w:val="none" w:sz="0" w:space="0" w:color="auto"/>
        <w:bottom w:val="none" w:sz="0" w:space="0" w:color="auto"/>
        <w:right w:val="none" w:sz="0" w:space="0" w:color="auto"/>
      </w:divBdr>
    </w:div>
    <w:div w:id="1112937571">
      <w:bodyDiv w:val="1"/>
      <w:marLeft w:val="0"/>
      <w:marRight w:val="0"/>
      <w:marTop w:val="0"/>
      <w:marBottom w:val="0"/>
      <w:divBdr>
        <w:top w:val="none" w:sz="0" w:space="0" w:color="auto"/>
        <w:left w:val="none" w:sz="0" w:space="0" w:color="auto"/>
        <w:bottom w:val="none" w:sz="0" w:space="0" w:color="auto"/>
        <w:right w:val="none" w:sz="0" w:space="0" w:color="auto"/>
      </w:divBdr>
    </w:div>
    <w:div w:id="1191531521">
      <w:bodyDiv w:val="1"/>
      <w:marLeft w:val="0"/>
      <w:marRight w:val="0"/>
      <w:marTop w:val="0"/>
      <w:marBottom w:val="0"/>
      <w:divBdr>
        <w:top w:val="none" w:sz="0" w:space="0" w:color="auto"/>
        <w:left w:val="none" w:sz="0" w:space="0" w:color="auto"/>
        <w:bottom w:val="none" w:sz="0" w:space="0" w:color="auto"/>
        <w:right w:val="none" w:sz="0" w:space="0" w:color="auto"/>
      </w:divBdr>
    </w:div>
    <w:div w:id="1300303395">
      <w:bodyDiv w:val="1"/>
      <w:marLeft w:val="0"/>
      <w:marRight w:val="0"/>
      <w:marTop w:val="0"/>
      <w:marBottom w:val="0"/>
      <w:divBdr>
        <w:top w:val="none" w:sz="0" w:space="0" w:color="auto"/>
        <w:left w:val="none" w:sz="0" w:space="0" w:color="auto"/>
        <w:bottom w:val="none" w:sz="0" w:space="0" w:color="auto"/>
        <w:right w:val="none" w:sz="0" w:space="0" w:color="auto"/>
      </w:divBdr>
    </w:div>
    <w:div w:id="1343750185">
      <w:bodyDiv w:val="1"/>
      <w:marLeft w:val="0"/>
      <w:marRight w:val="0"/>
      <w:marTop w:val="0"/>
      <w:marBottom w:val="0"/>
      <w:divBdr>
        <w:top w:val="none" w:sz="0" w:space="0" w:color="auto"/>
        <w:left w:val="none" w:sz="0" w:space="0" w:color="auto"/>
        <w:bottom w:val="none" w:sz="0" w:space="0" w:color="auto"/>
        <w:right w:val="none" w:sz="0" w:space="0" w:color="auto"/>
      </w:divBdr>
    </w:div>
    <w:div w:id="1453748826">
      <w:bodyDiv w:val="1"/>
      <w:marLeft w:val="0"/>
      <w:marRight w:val="0"/>
      <w:marTop w:val="0"/>
      <w:marBottom w:val="0"/>
      <w:divBdr>
        <w:top w:val="none" w:sz="0" w:space="0" w:color="auto"/>
        <w:left w:val="none" w:sz="0" w:space="0" w:color="auto"/>
        <w:bottom w:val="none" w:sz="0" w:space="0" w:color="auto"/>
        <w:right w:val="none" w:sz="0" w:space="0" w:color="auto"/>
      </w:divBdr>
    </w:div>
    <w:div w:id="1560092231">
      <w:bodyDiv w:val="1"/>
      <w:marLeft w:val="0"/>
      <w:marRight w:val="0"/>
      <w:marTop w:val="0"/>
      <w:marBottom w:val="0"/>
      <w:divBdr>
        <w:top w:val="none" w:sz="0" w:space="0" w:color="auto"/>
        <w:left w:val="none" w:sz="0" w:space="0" w:color="auto"/>
        <w:bottom w:val="none" w:sz="0" w:space="0" w:color="auto"/>
        <w:right w:val="none" w:sz="0" w:space="0" w:color="auto"/>
      </w:divBdr>
    </w:div>
    <w:div w:id="1632594881">
      <w:bodyDiv w:val="1"/>
      <w:marLeft w:val="0"/>
      <w:marRight w:val="0"/>
      <w:marTop w:val="0"/>
      <w:marBottom w:val="0"/>
      <w:divBdr>
        <w:top w:val="none" w:sz="0" w:space="0" w:color="auto"/>
        <w:left w:val="none" w:sz="0" w:space="0" w:color="auto"/>
        <w:bottom w:val="none" w:sz="0" w:space="0" w:color="auto"/>
        <w:right w:val="none" w:sz="0" w:space="0" w:color="auto"/>
      </w:divBdr>
    </w:div>
    <w:div w:id="1769807517">
      <w:bodyDiv w:val="1"/>
      <w:marLeft w:val="0"/>
      <w:marRight w:val="0"/>
      <w:marTop w:val="0"/>
      <w:marBottom w:val="0"/>
      <w:divBdr>
        <w:top w:val="none" w:sz="0" w:space="0" w:color="auto"/>
        <w:left w:val="none" w:sz="0" w:space="0" w:color="auto"/>
        <w:bottom w:val="none" w:sz="0" w:space="0" w:color="auto"/>
        <w:right w:val="none" w:sz="0" w:space="0" w:color="auto"/>
      </w:divBdr>
    </w:div>
    <w:div w:id="1814179027">
      <w:bodyDiv w:val="1"/>
      <w:marLeft w:val="0"/>
      <w:marRight w:val="0"/>
      <w:marTop w:val="0"/>
      <w:marBottom w:val="0"/>
      <w:divBdr>
        <w:top w:val="none" w:sz="0" w:space="0" w:color="auto"/>
        <w:left w:val="none" w:sz="0" w:space="0" w:color="auto"/>
        <w:bottom w:val="none" w:sz="0" w:space="0" w:color="auto"/>
        <w:right w:val="none" w:sz="0" w:space="0" w:color="auto"/>
      </w:divBdr>
    </w:div>
    <w:div w:id="1826241894">
      <w:bodyDiv w:val="1"/>
      <w:marLeft w:val="0"/>
      <w:marRight w:val="0"/>
      <w:marTop w:val="0"/>
      <w:marBottom w:val="0"/>
      <w:divBdr>
        <w:top w:val="none" w:sz="0" w:space="0" w:color="auto"/>
        <w:left w:val="none" w:sz="0" w:space="0" w:color="auto"/>
        <w:bottom w:val="none" w:sz="0" w:space="0" w:color="auto"/>
        <w:right w:val="none" w:sz="0" w:space="0" w:color="auto"/>
      </w:divBdr>
    </w:div>
    <w:div w:id="1952545270">
      <w:bodyDiv w:val="1"/>
      <w:marLeft w:val="0"/>
      <w:marRight w:val="0"/>
      <w:marTop w:val="0"/>
      <w:marBottom w:val="0"/>
      <w:divBdr>
        <w:top w:val="none" w:sz="0" w:space="0" w:color="auto"/>
        <w:left w:val="none" w:sz="0" w:space="0" w:color="auto"/>
        <w:bottom w:val="none" w:sz="0" w:space="0" w:color="auto"/>
        <w:right w:val="none" w:sz="0" w:space="0" w:color="auto"/>
      </w:divBdr>
    </w:div>
    <w:div w:id="1975208360">
      <w:bodyDiv w:val="1"/>
      <w:marLeft w:val="0"/>
      <w:marRight w:val="0"/>
      <w:marTop w:val="0"/>
      <w:marBottom w:val="0"/>
      <w:divBdr>
        <w:top w:val="none" w:sz="0" w:space="0" w:color="auto"/>
        <w:left w:val="none" w:sz="0" w:space="0" w:color="auto"/>
        <w:bottom w:val="none" w:sz="0" w:space="0" w:color="auto"/>
        <w:right w:val="none" w:sz="0" w:space="0" w:color="auto"/>
      </w:divBdr>
    </w:div>
    <w:div w:id="197879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files.epi.org/p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mexico.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igitalcommons.ilr.cornell.edu/key_workplace/19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t/tequilaeffect.asp" TargetMode="External"/><Relationship Id="rId5" Type="http://schemas.openxmlformats.org/officeDocument/2006/relationships/webSettings" Target="webSettings.xml"/><Relationship Id="rId15" Type="http://schemas.openxmlformats.org/officeDocument/2006/relationships/hyperlink" Target="https://www.uschamber.com/sites/default/files/the_facts_on_nafta_-_2017.pdf" TargetMode="External"/><Relationship Id="rId10" Type="http://schemas.openxmlformats.org/officeDocument/2006/relationships/hyperlink" Target="https://doi.org/10.5539/ass.v15n6p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fred.stlouisfed.org/series/CLF16O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Downloads\GDP%20COMPARISONS\GDP%20Deriv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Downloads\experima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 Real</a:t>
            </a:r>
            <a:r>
              <a:rPr lang="en-US" baseline="0"/>
              <a:t> GDP, Constant National Prices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'Real GDP figure 2'!$D$1</c:f>
              <c:strCache>
                <c:ptCount val="1"/>
                <c:pt idx="0">
                  <c:v>United States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4"/>
              <c:layout>
                <c:manualLayout>
                  <c:x val="-0.11729742916750791"/>
                  <c:y val="-6.4581464883808476E-2"/>
                </c:manualLayout>
              </c:layout>
              <c:spPr>
                <a:solidFill>
                  <a:sysClr val="window" lastClr="FFFFFF"/>
                </a:solidFill>
                <a:ln>
                  <a:solidFill>
                    <a:srgbClr val="ED7D31"/>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0-A90D-42DD-8DE5-F7FBCFBA93EB}"/>
                </c:ext>
              </c:extLst>
            </c:dLbl>
            <c:dLbl>
              <c:idx val="18"/>
              <c:layout>
                <c:manualLayout>
                  <c:x val="-0.11454354263409382"/>
                  <c:y val="-5.2485395205237519E-2"/>
                </c:manualLayout>
              </c:layout>
              <c:spPr>
                <a:solidFill>
                  <a:sysClr val="window" lastClr="FFFFFF"/>
                </a:solidFill>
                <a:ln>
                  <a:solidFill>
                    <a:srgbClr val="ED7D31"/>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A90D-42DD-8DE5-F7FBCFBA93EB}"/>
                </c:ext>
              </c:extLst>
            </c:dLbl>
            <c:dLbl>
              <c:idx val="29"/>
              <c:layout>
                <c:manualLayout>
                  <c:x val="-6.0610850468545911E-2"/>
                  <c:y val="-2.5457436219016139E-2"/>
                </c:manualLayout>
              </c:layout>
              <c:spPr>
                <a:solidFill>
                  <a:sysClr val="window" lastClr="FFFFFF"/>
                </a:solidFill>
                <a:ln>
                  <a:solidFill>
                    <a:srgbClr val="ED7D31"/>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2-A90D-42DD-8DE5-F7FBCFBA93EB}"/>
                </c:ext>
              </c:extLst>
            </c:dLbl>
            <c:spPr>
              <a:noFill/>
              <a:ln>
                <a:solidFill>
                  <a:schemeClr val="accent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numRef>
              <c:f>'Real GDP figure 2'!$E$2:$E$31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'Real GDP figure 2'!$D$2:$D$31</c:f>
              <c:numCache>
                <c:formatCode>"$"#,##0</c:formatCode>
                <c:ptCount val="30"/>
                <c:pt idx="0">
                  <c:v>10087555</c:v>
                </c:pt>
                <c:pt idx="1">
                  <c:v>10076635</c:v>
                </c:pt>
                <c:pt idx="2">
                  <c:v>10431579</c:v>
                </c:pt>
                <c:pt idx="3">
                  <c:v>10718744</c:v>
                </c:pt>
                <c:pt idx="4">
                  <c:v>11150584</c:v>
                </c:pt>
                <c:pt idx="5">
                  <c:v>11449898</c:v>
                </c:pt>
                <c:pt idx="6">
                  <c:v>11881846</c:v>
                </c:pt>
                <c:pt idx="7">
                  <c:v>12410257</c:v>
                </c:pt>
                <c:pt idx="8">
                  <c:v>12966412</c:v>
                </c:pt>
                <c:pt idx="9">
                  <c:v>13582736</c:v>
                </c:pt>
                <c:pt idx="10">
                  <c:v>14143361</c:v>
                </c:pt>
                <c:pt idx="11">
                  <c:v>14284560</c:v>
                </c:pt>
                <c:pt idx="12">
                  <c:v>14533353</c:v>
                </c:pt>
                <c:pt idx="13">
                  <c:v>14949183</c:v>
                </c:pt>
                <c:pt idx="14">
                  <c:v>15517086</c:v>
                </c:pt>
                <c:pt idx="15">
                  <c:v>16062235</c:v>
                </c:pt>
                <c:pt idx="16">
                  <c:v>16520807</c:v>
                </c:pt>
                <c:pt idx="17">
                  <c:v>16830766</c:v>
                </c:pt>
                <c:pt idx="18">
                  <c:v>16807780</c:v>
                </c:pt>
                <c:pt idx="19">
                  <c:v>16381405</c:v>
                </c:pt>
                <c:pt idx="20">
                  <c:v>16801388</c:v>
                </c:pt>
                <c:pt idx="21">
                  <c:v>17061950</c:v>
                </c:pt>
                <c:pt idx="22">
                  <c:v>17445766</c:v>
                </c:pt>
                <c:pt idx="23">
                  <c:v>17767130</c:v>
                </c:pt>
                <c:pt idx="24">
                  <c:v>18215924</c:v>
                </c:pt>
                <c:pt idx="25">
                  <c:v>18776158</c:v>
                </c:pt>
                <c:pt idx="26">
                  <c:v>19097498</c:v>
                </c:pt>
                <c:pt idx="27">
                  <c:v>19542980</c:v>
                </c:pt>
                <c:pt idx="28">
                  <c:v>20128580</c:v>
                </c:pt>
                <c:pt idx="29">
                  <c:v>20563592</c:v>
                </c:pt>
              </c:numCache>
            </c:numRef>
          </c:val>
          <c:smooth val="0"/>
          <c:extLst>
            <c:ext xmlns:c16="http://schemas.microsoft.com/office/drawing/2014/chart" uri="{C3380CC4-5D6E-409C-BE32-E72D297353CC}">
              <c16:uniqueId val="{00000003-A90D-42DD-8DE5-F7FBCFBA93EB}"/>
            </c:ext>
          </c:extLst>
        </c:ser>
        <c:ser>
          <c:idx val="0"/>
          <c:order val="1"/>
          <c:tx>
            <c:strRef>
              <c:f>'Real GDP figure 2'!$C$1</c:f>
              <c:strCache>
                <c:ptCount val="1"/>
                <c:pt idx="0">
                  <c:v>Mexico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4"/>
              <c:layout>
                <c:manualLayout>
                  <c:x val="-9.6282724274850254E-2"/>
                  <c:y val="-6.199119424268016E-2"/>
                </c:manualLayout>
              </c:layout>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4-A90D-42DD-8DE5-F7FBCFBA93EB}"/>
                </c:ext>
              </c:extLst>
            </c:dLbl>
            <c:dLbl>
              <c:idx val="18"/>
              <c:layout>
                <c:manualLayout>
                  <c:x val="-8.3837404939767227E-2"/>
                  <c:y val="-6.1821125968262641E-2"/>
                </c:manualLayout>
              </c:layout>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A90D-42DD-8DE5-F7FBCFBA93EB}"/>
                </c:ext>
              </c:extLst>
            </c:dLbl>
            <c:dLbl>
              <c:idx val="29"/>
              <c:layout>
                <c:manualLayout>
                  <c:x val="-3.3942076262385615E-2"/>
                  <c:y val="-5.5157778474534964E-2"/>
                </c:manualLayout>
              </c:layout>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6-A90D-42DD-8DE5-F7FBCFBA93EB}"/>
                </c:ext>
              </c:extLst>
            </c:dLbl>
            <c:spPr>
              <a:noFill/>
              <a:ln>
                <a:solidFill>
                  <a:schemeClr val="accent1"/>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numRef>
              <c:f>'Real GDP figure 2'!$E$2:$E$31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'Real GDP figure 2'!$C$2:$C$31</c:f>
              <c:numCache>
                <c:formatCode>"$"#,##0</c:formatCode>
                <c:ptCount val="30"/>
                <c:pt idx="0">
                  <c:v>1182592.75</c:v>
                </c:pt>
                <c:pt idx="1">
                  <c:v>1232524.875</c:v>
                </c:pt>
                <c:pt idx="2">
                  <c:v>1277248.875</c:v>
                </c:pt>
                <c:pt idx="3">
                  <c:v>1322641.25</c:v>
                </c:pt>
                <c:pt idx="4">
                  <c:v>1387994</c:v>
                </c:pt>
                <c:pt idx="5">
                  <c:v>1300672</c:v>
                </c:pt>
                <c:pt idx="6">
                  <c:v>1388770</c:v>
                </c:pt>
                <c:pt idx="7">
                  <c:v>1483857</c:v>
                </c:pt>
                <c:pt idx="8">
                  <c:v>1560482.375</c:v>
                </c:pt>
                <c:pt idx="9">
                  <c:v>1603451</c:v>
                </c:pt>
                <c:pt idx="10">
                  <c:v>1682700.875</c:v>
                </c:pt>
                <c:pt idx="11">
                  <c:v>1675896.125</c:v>
                </c:pt>
                <c:pt idx="12">
                  <c:v>1675228.375</c:v>
                </c:pt>
                <c:pt idx="13">
                  <c:v>1699458.625</c:v>
                </c:pt>
                <c:pt idx="14">
                  <c:v>1766087.375</c:v>
                </c:pt>
                <c:pt idx="15">
                  <c:v>1806845.375</c:v>
                </c:pt>
                <c:pt idx="16">
                  <c:v>1888064.5</c:v>
                </c:pt>
                <c:pt idx="17">
                  <c:v>1931328.375</c:v>
                </c:pt>
                <c:pt idx="18">
                  <c:v>1953414.625</c:v>
                </c:pt>
                <c:pt idx="19">
                  <c:v>1850162.25</c:v>
                </c:pt>
                <c:pt idx="20">
                  <c:v>1944855.75</c:v>
                </c:pt>
                <c:pt idx="21">
                  <c:v>2016096</c:v>
                </c:pt>
                <c:pt idx="22">
                  <c:v>2089528.625</c:v>
                </c:pt>
                <c:pt idx="23">
                  <c:v>2117822.75</c:v>
                </c:pt>
                <c:pt idx="24">
                  <c:v>2177213.75</c:v>
                </c:pt>
                <c:pt idx="25">
                  <c:v>2248800.5</c:v>
                </c:pt>
                <c:pt idx="26">
                  <c:v>2314252.75</c:v>
                </c:pt>
                <c:pt idx="27">
                  <c:v>2363270.5</c:v>
                </c:pt>
                <c:pt idx="28">
                  <c:v>2413749</c:v>
                </c:pt>
                <c:pt idx="29">
                  <c:v>2406409.75</c:v>
                </c:pt>
              </c:numCache>
            </c:numRef>
          </c:val>
          <c:smooth val="0"/>
          <c:extLst>
            <c:ext xmlns:c16="http://schemas.microsoft.com/office/drawing/2014/chart" uri="{C3380CC4-5D6E-409C-BE32-E72D297353CC}">
              <c16:uniqueId val="{00000007-A90D-42DD-8DE5-F7FBCFBA93EB}"/>
            </c:ext>
          </c:extLst>
        </c:ser>
        <c:dLbls>
          <c:showLegendKey val="0"/>
          <c:showVal val="0"/>
          <c:showCatName val="0"/>
          <c:showSerName val="0"/>
          <c:showPercent val="0"/>
          <c:showBubbleSize val="0"/>
        </c:dLbls>
        <c:marker val="1"/>
        <c:smooth val="0"/>
        <c:axId val="2009266095"/>
        <c:axId val="2009259439"/>
      </c:lineChart>
      <c:catAx>
        <c:axId val="200926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259439"/>
        <c:crosses val="autoZero"/>
        <c:auto val="1"/>
        <c:lblAlgn val="ctr"/>
        <c:lblOffset val="100"/>
        <c:noMultiLvlLbl val="1"/>
      </c:catAx>
      <c:valAx>
        <c:axId val="200925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2017 USD - Not Seasonally Adjusted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2 - Mexico and U.S. Factor Endowments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main!$J$1</c:f>
              <c:strCache>
                <c:ptCount val="1"/>
                <c:pt idx="0">
                  <c:v>Mexico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1005747042153384"/>
                  <c:y val="6.2222231900026313E-2"/>
                </c:manualLayout>
              </c:layout>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0-AF42-4472-929A-ADBB68635935}"/>
                </c:ext>
              </c:extLst>
            </c:dLbl>
            <c:dLbl>
              <c:idx val="4"/>
              <c:layout>
                <c:manualLayout>
                  <c:x val="0"/>
                  <c:y val="7.259260388336411E-2"/>
                </c:manualLayout>
              </c:layout>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AF42-4472-929A-ADBB68635935}"/>
                </c:ext>
              </c:extLst>
            </c:dLbl>
            <c:dLbl>
              <c:idx val="18"/>
              <c:layout>
                <c:manualLayout>
                  <c:x val="-1.3066318768657548E-2"/>
                  <c:y val="6.2222231900026313E-2"/>
                </c:manualLayout>
              </c:layout>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2-AF42-4472-929A-ADBB68635935}"/>
                </c:ext>
              </c:extLst>
            </c:dLbl>
            <c:dLbl>
              <c:idx val="29"/>
              <c:layout>
                <c:manualLayout>
                  <c:x val="-3.7249890450126695E-3"/>
                  <c:y val="6.2222231900026383E-2"/>
                </c:manualLayout>
              </c:layout>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AF42-4472-929A-ADBB6863593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main!$A$2:$A$31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xVal>
          <c:yVal>
            <c:numRef>
              <c:f>main!$J$2:$J$31</c:f>
              <c:numCache>
                <c:formatCode>_(* #,##0.00_);_(* \(#,##0.00\);_(* "-"??_);_(@_)</c:formatCode>
                <c:ptCount val="30"/>
                <c:pt idx="0">
                  <c:v>5.3798105834272398</c:v>
                </c:pt>
                <c:pt idx="1">
                  <c:v>5.391395024872792</c:v>
                </c:pt>
                <c:pt idx="2">
                  <c:v>5.4494595442774694</c:v>
                </c:pt>
                <c:pt idx="3">
                  <c:v>5.4682459751705981</c:v>
                </c:pt>
                <c:pt idx="4">
                  <c:v>5.3751634300212743</c:v>
                </c:pt>
                <c:pt idx="5">
                  <c:v>5.4400447373737455</c:v>
                </c:pt>
                <c:pt idx="6">
                  <c:v>5.4509426025714207</c:v>
                </c:pt>
                <c:pt idx="7">
                  <c:v>5.541373853648091</c:v>
                </c:pt>
                <c:pt idx="8">
                  <c:v>5.4951571848285132</c:v>
                </c:pt>
                <c:pt idx="9">
                  <c:v>5.3684704458888532</c:v>
                </c:pt>
                <c:pt idx="10">
                  <c:v>5.2916506881110887</c:v>
                </c:pt>
                <c:pt idx="11">
                  <c:v>5.2093852771134594</c:v>
                </c:pt>
                <c:pt idx="12">
                  <c:v>5.1843962675282222</c:v>
                </c:pt>
                <c:pt idx="13">
                  <c:v>5.2265923558951286</c:v>
                </c:pt>
                <c:pt idx="14">
                  <c:v>5.2770026616975905</c:v>
                </c:pt>
                <c:pt idx="15">
                  <c:v>5.3115934837321905</c:v>
                </c:pt>
                <c:pt idx="16">
                  <c:v>5.3569616690903299</c:v>
                </c:pt>
                <c:pt idx="17">
                  <c:v>5.3269748620253301</c:v>
                </c:pt>
                <c:pt idx="18">
                  <c:v>5.2787599678697239</c:v>
                </c:pt>
                <c:pt idx="19">
                  <c:v>5.2861942860241902</c:v>
                </c:pt>
                <c:pt idx="20">
                  <c:v>5.2654893593626184</c:v>
                </c:pt>
                <c:pt idx="21">
                  <c:v>5.2553452468005259</c:v>
                </c:pt>
                <c:pt idx="22">
                  <c:v>5.2820996789300123</c:v>
                </c:pt>
                <c:pt idx="23">
                  <c:v>5.2560896770819623</c:v>
                </c:pt>
                <c:pt idx="24">
                  <c:v>5.1937233202897239</c:v>
                </c:pt>
                <c:pt idx="25">
                  <c:v>5.1734104136977166</c:v>
                </c:pt>
                <c:pt idx="26">
                  <c:v>5.1402069243774982</c:v>
                </c:pt>
                <c:pt idx="27">
                  <c:v>5.1020177364331962</c:v>
                </c:pt>
                <c:pt idx="28">
                  <c:v>5.1154382780032508</c:v>
                </c:pt>
                <c:pt idx="29">
                  <c:v>5.1761372735360078</c:v>
                </c:pt>
              </c:numCache>
            </c:numRef>
          </c:yVal>
          <c:smooth val="0"/>
          <c:extLst>
            <c:ext xmlns:c16="http://schemas.microsoft.com/office/drawing/2014/chart" uri="{C3380CC4-5D6E-409C-BE32-E72D297353CC}">
              <c16:uniqueId val="{00000004-AF42-4472-929A-ADBB68635935}"/>
            </c:ext>
          </c:extLst>
        </c:ser>
        <c:ser>
          <c:idx val="1"/>
          <c:order val="1"/>
          <c:tx>
            <c:strRef>
              <c:f>main!$K$1</c:f>
              <c:strCache>
                <c:ptCount val="1"/>
                <c:pt idx="0">
                  <c:v>United States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11174967135037599"/>
                  <c:y val="6.913581322225143E-2"/>
                </c:manualLayout>
              </c:layout>
              <c:spPr>
                <a:solidFill>
                  <a:sysClr val="window" lastClr="FFFFFF"/>
                </a:solidFill>
                <a:ln>
                  <a:solidFill>
                    <a:srgbClr val="ED7D31"/>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AF42-4472-929A-ADBB68635935}"/>
                </c:ext>
              </c:extLst>
            </c:dLbl>
            <c:dLbl>
              <c:idx val="4"/>
              <c:layout>
                <c:manualLayout>
                  <c:x val="-9.2017219834009713E-3"/>
                  <c:y val="7.6049394544476651E-2"/>
                </c:manualLayout>
              </c:layout>
              <c:spPr>
                <a:solidFill>
                  <a:sysClr val="window" lastClr="FFFFFF"/>
                </a:solidFill>
                <a:ln>
                  <a:solidFill>
                    <a:srgbClr val="ED7D31"/>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6-AF42-4472-929A-ADBB68635935}"/>
                </c:ext>
              </c:extLst>
            </c:dLbl>
            <c:dLbl>
              <c:idx val="18"/>
              <c:layout>
                <c:manualLayout>
                  <c:x val="-2.2349934270075335E-2"/>
                  <c:y val="7.6049394544476526E-2"/>
                </c:manualLayout>
              </c:layout>
              <c:spPr>
                <a:solidFill>
                  <a:sysClr val="window" lastClr="FFFFFF"/>
                </a:solidFill>
                <a:ln>
                  <a:solidFill>
                    <a:srgbClr val="ED7D31"/>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7-AF42-4472-929A-ADBB68635935}"/>
                </c:ext>
              </c:extLst>
            </c:dLbl>
            <c:dLbl>
              <c:idx val="29"/>
              <c:layout>
                <c:manualLayout>
                  <c:x val="-1.1174967135037598E-2"/>
                  <c:y val="7.6049394544476651E-2"/>
                </c:manualLayout>
              </c:layout>
              <c:spPr>
                <a:solidFill>
                  <a:sysClr val="window" lastClr="FFFFFF"/>
                </a:solidFill>
                <a:ln>
                  <a:solidFill>
                    <a:srgbClr val="ED7D31"/>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8-AF42-4472-929A-ADBB6863593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main!$A$2:$A$31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xVal>
          <c:yVal>
            <c:numRef>
              <c:f>main!$K$2:$K$31</c:f>
              <c:numCache>
                <c:formatCode>0.00</c:formatCode>
                <c:ptCount val="30"/>
                <c:pt idx="0">
                  <c:v>3.29200345041246</c:v>
                </c:pt>
                <c:pt idx="1">
                  <c:v>3.2306853213233389</c:v>
                </c:pt>
                <c:pt idx="2">
                  <c:v>3.1980377481085838</c:v>
                </c:pt>
                <c:pt idx="3">
                  <c:v>3.1576456043507437</c:v>
                </c:pt>
                <c:pt idx="4">
                  <c:v>3.1377571393849788</c:v>
                </c:pt>
                <c:pt idx="5">
                  <c:v>3.0971070836537451</c:v>
                </c:pt>
                <c:pt idx="6">
                  <c:v>3.0306418051780151</c:v>
                </c:pt>
                <c:pt idx="7">
                  <c:v>3.0116600441984054</c:v>
                </c:pt>
                <c:pt idx="8">
                  <c:v>2.9581298241283447</c:v>
                </c:pt>
                <c:pt idx="9">
                  <c:v>2.9063166739608763</c:v>
                </c:pt>
                <c:pt idx="10">
                  <c:v>2.8817503391855412</c:v>
                </c:pt>
                <c:pt idx="11">
                  <c:v>2.8343455507949411</c:v>
                </c:pt>
                <c:pt idx="12">
                  <c:v>2.7709329722439495</c:v>
                </c:pt>
                <c:pt idx="13">
                  <c:v>2.7440019554753312</c:v>
                </c:pt>
                <c:pt idx="14">
                  <c:v>2.6907525934697625</c:v>
                </c:pt>
                <c:pt idx="15">
                  <c:v>2.6393929102107521</c:v>
                </c:pt>
                <c:pt idx="16">
                  <c:v>2.6090010972067672</c:v>
                </c:pt>
                <c:pt idx="17">
                  <c:v>2.5993932169185014</c:v>
                </c:pt>
                <c:pt idx="18">
                  <c:v>2.5684952631974505</c:v>
                </c:pt>
                <c:pt idx="19">
                  <c:v>2.5484720339361746</c:v>
                </c:pt>
                <c:pt idx="20">
                  <c:v>2.5138778887304225</c:v>
                </c:pt>
                <c:pt idx="21">
                  <c:v>2.4851049042032374</c:v>
                </c:pt>
                <c:pt idx="22">
                  <c:v>2.4726425448852667</c:v>
                </c:pt>
                <c:pt idx="23">
                  <c:v>2.4633210089528039</c:v>
                </c:pt>
                <c:pt idx="24">
                  <c:v>2.4226730458691641</c:v>
                </c:pt>
                <c:pt idx="25">
                  <c:v>2.4136992240870798</c:v>
                </c:pt>
                <c:pt idx="26">
                  <c:v>2.399124746908103</c:v>
                </c:pt>
                <c:pt idx="27">
                  <c:v>2.384427136376206</c:v>
                </c:pt>
                <c:pt idx="28">
                  <c:v>2.367361693482787</c:v>
                </c:pt>
                <c:pt idx="29">
                  <c:v>2.3613410109352193</c:v>
                </c:pt>
              </c:numCache>
            </c:numRef>
          </c:yVal>
          <c:smooth val="0"/>
          <c:extLst>
            <c:ext xmlns:c16="http://schemas.microsoft.com/office/drawing/2014/chart" uri="{C3380CC4-5D6E-409C-BE32-E72D297353CC}">
              <c16:uniqueId val="{00000009-AF42-4472-929A-ADBB68635935}"/>
            </c:ext>
          </c:extLst>
        </c:ser>
        <c:dLbls>
          <c:showLegendKey val="0"/>
          <c:showVal val="0"/>
          <c:showCatName val="0"/>
          <c:showSerName val="0"/>
          <c:showPercent val="0"/>
          <c:showBubbleSize val="0"/>
        </c:dLbls>
        <c:axId val="22811472"/>
        <c:axId val="22819376"/>
      </c:scatterChart>
      <c:valAx>
        <c:axId val="22811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19376"/>
        <c:crosses val="autoZero"/>
        <c:crossBetween val="midCat"/>
      </c:valAx>
      <c:valAx>
        <c:axId val="2281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L/K</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11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F0831F7-1DD2-4BD3-BB99-033DDCDEB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17</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Dominguez</dc:creator>
  <cp:keywords/>
  <dc:description/>
  <cp:lastModifiedBy>Miguel Dominguez</cp:lastModifiedBy>
  <cp:revision>619</cp:revision>
  <cp:lastPrinted>2022-12-06T11:05:00Z</cp:lastPrinted>
  <dcterms:created xsi:type="dcterms:W3CDTF">2022-12-03T06:33:00Z</dcterms:created>
  <dcterms:modified xsi:type="dcterms:W3CDTF">2023-02-24T22:00:00Z</dcterms:modified>
</cp:coreProperties>
</file>