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2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со смежными системами и пользователей с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b/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4.3.5. Требования к техническому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Система должна быть реализована с использованием специально выделенных серверов Заказчика.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8 (16 core); RAM: 32 Gb; HDD: 100 Gb; Network Card: 2 (1 Gbit); Fiber Channel: 2. </w:t>
        <w:tab/>
        <w:t xml:space="preserve">Сервер приложений должен быть развернут на платформе HP Integrity,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6 (12 core); RAM: 64 Gb; HDD: 300 Gb; Network Card: 3 (1 Gbit).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4.3.6. Требования к метрологическому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Не предъявляются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4.3.7.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организационному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 xml:space="preserve">сновными пользователями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являются сотрудники функционального (например, сотрудники аналитического отдела) подразделения Заказчика.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Обеспечивает эксплуатацию Системы подразделение информационных технологий Заказчика.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Состав сотрудников каждого из подразделений определяется штатным расписанием Заказчика, которое, в случае необходимости, может изменяться.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К организации функционирования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, пользователи должны </w:t>
      </w:r>
      <w:r>
        <w:rPr>
          <w:rFonts w:ascii="Times New Roman" w:hAnsi="Times New Roman"/>
          <w:color w:val="000000"/>
          <w:sz w:val="24"/>
          <w:szCs w:val="24"/>
        </w:rPr>
        <w:t>обратиться в техподдержку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К защите от ошибочных действий персонала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должна быть предусмотрена система подтверждения легитимности пользователя при просмотре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всех пользователей должна быть запрещена возможность удаления преднастроенных объектов и отчетности;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4.3.8.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методическому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Не предъявляются.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4.3.9.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Требования к патентной чистоте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П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LibreOffice/7.6.4.1$Windows_X86_64 LibreOffice_project/e19e193f88cd6c0525a17fb7a176ed8e6a3e2aa1</Application>
  <AppVersion>15.0000</AppVersion>
  <Pages>21</Pages>
  <Words>4760</Words>
  <Characters>34639</Characters>
  <CharactersWithSpaces>39172</CharactersWithSpaces>
  <Paragraphs>418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2024-02-06T21:03:03Z</dcterms:modified>
  <cp:revision>64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