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>Отчет по итоговой работе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>Составление технического задания для предметной области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Предметная область: Фирма по оказанию бухгалтерских услуг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Работу выполнил: Сафронов Данил Дмитриевич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Специальность: Информационные системы и программирование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Группа: И-21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Работу проверил: Градовец Николай Николаевич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Дата начала выполнения: 24.01.2024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Дата завершения: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Общие сведения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Автоматизированная ИС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Полное 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Автоматизированная информационная система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Краткое 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финансовых операций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Основания для проведения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Работа выполняется на основании договора №456772 от 21.04.2024 между «ООО Фирма по оказанию бухгалтерских услуг» и «ОАО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»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Наименование организаций – Заказчика и Разработчика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Заказчик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Заказчик: ООО «Фирма по оказанию бухгалтерских услуг»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Адрес фактический: г. Ейск, ул. Шоссейная 10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Телефон / Факс: +7 (918) 7777777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Разработчик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Разработчик: ОАО «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Адрес фактический: г. Ейск, ул. Коммунистическая 83/3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Телефон / Факс: +7 (918) 3333333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Плановые сроки начала и окончания работы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Дата начала: 30.01.2024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Дата окончания: 30.01.2025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Источники и порядок финансирования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см. Договор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Порядок оформления и предъявления заказчику результатов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Назначение и цели создания системы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Назначение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Цели создания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АИС создается с целью: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создания единой системы отчетности по показателям деятельности;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 сбора и первичной обработки исходной информации;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информационных систем, используемых для подготовки аналитической отчетности;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время, затрачиваемое на информационно-аналитическую деятельность;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3. Характеристика объектов автоматизации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Автоматизируемый процесс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Возможность автоматизации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ли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управленческого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финансового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налогового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Подсчет добавленной стоимости от налогов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автоматизирована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 Требования к системе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 Требования к системе в целом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 Требования к структуре и функционированию системы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Источник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Хранилище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Отчетность</w:t>
            </w:r>
          </w:p>
        </w:tc>
      </w:tr>
    </w:tbl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подсистема хранения данных, которая предназначена для хранения данных в структурах, нацеленных на принятие решений;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Смежными системами для АИС являются: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информационные системы оперативной обработки данных Заказчика;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информационные системы планирования;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Источниками данных для Системы должны быть: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управления предприятием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Информационно-справочная система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обеспечения бюджетного процесса (СУБД Oracle).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управления предприятием - с использованием промежуточной базы данных (ПБД).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Информационно-справочная система - обмен файлами ОС определенного формата.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обеспечения бюджетного процесса - интеграция «точка – точка».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поддерживать следующие режимы функционирования: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Основной режим, в котором подсистемы АИС выполняют все свои основные функции.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Профилактический режим, в котором одна или все подсистемы АИС не выполняют своих функций.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основном режиме функционирования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АИС должна обеспечивать: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работу пользователей в режиме – 24 часов в день, 7 дней в неделю (24х7);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профилактическом режиме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АИС должна обеспечивать возможность проведения следующих работ: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техническое обслуживание;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модернизацию аппаратно-программного комплекса;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устранение аварийных ситуаций.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  <w:tab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-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СУБД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- Microsoft SQL Server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- ETL-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средство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- Oracle Data Integrator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средство визуализации -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Databox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4.1.2.1. Требования к численности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состав персонала, необходимого для обеспечения эксплуатации АИС в рамках соответствующих подразделений Заказчика, необходимо выделение следующих ответственных лиц: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Руководитель эксплуатирующего подразделения - 1 человек.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хранения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 обеспечивает общее руководство группой сопровождения, ...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АИС обеспечивает контроль процессов ETL, подготовку и загрузку данных из внешних источников в хранилище данных.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хранения данных - на всем протяжении функционирования АИС обеспечивает распределение дискового пространства, модификацию структур БД, оптимизацию производительности.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- на всем протяжении функционирования АИС обеспечивает поддержку пользователей, формирование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4.1.2.2. Требования к квалификации персонала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4.1.2.3. Требования к режимам работы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Персонал, работающий с Системой АИС и выполняющий функции её сопровождения и обслуживания, должен работать в следующих режимах: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Конечный пользователь -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сбора, обработки и загрузки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хранения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 Показатели назначения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измерений – 3.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показателей –5.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аналитических отчетов – 10.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4.1.3.2. Требования к приспособляемости системы к изменениям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своевременности администрирования;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модернизации процессов сбора, обработки и загрузки данных в соответствии с новыми требованиями;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модификации процедур доступа и представления данных конечным пользователям;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наличия настроечных и конфигурационных файлов у ПО подсистем;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полном объеме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 Требования к надежности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4.1.4.1. Состав показателей надежности для системы в целом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своевременного выполнения процессов администрирования Системы АИС;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перерыве и выходе за установленные пределы параметров электропитания - не более 5 минут.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перерыве и выходе за установленные пределы параметров программного обеспечением - не более 2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выходе из строя АПК ХД - не более 3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соответствовать следующим параметрам: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АИС,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сервера;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рабочей станции пользователей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обеспечения локальной сети (поломка сети);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ошибки Системы АИС, не выявленные при отладке и испытании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сбои программного обеспечения сервера.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К надежности оборудования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предварительного обучения пользователей и обслуживающего персонала;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своевременного выполнения процессов администрирования;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надежности общесистемного ПО и ПО, разрабатываемого Разработчиком;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проведением комплекса мероприятий отладки, поиска и исключения ошибок;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4.1.5. Требования к эргономике и технической эстетике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интерфейсы подсистем должен быть типизированы;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должен использоваться шрифт: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Times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Roman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размер шрифта должен быть: 12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цветовая палитра должна быть: черно-белая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 шапке отчетов должен использоваться логотип Заказчика.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части диалога с пользователем: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для наиболее частых операций должны быть предусмотрены «горячие» клавиши;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внешнего оформления: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интерфейсы по подсистемам должен быть типизированы.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диалога с пользователем: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 Требования к защите информации от несанкционированного доступа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4.1.7.1. Требования к информационной безопасности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Обеспечение информационное безопасности Системы АИС должно удовлетворять следующим требованиям: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4.1.7.2. Требования к антивирусной защите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АИС. Средства антивирусной защиты рабочих местах пользователей и администраторов должны обеспечивать: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централизованную автоматическую инсталляцию клиентского ПО на рабочих местах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ведение журналов вирусной активности;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администрирование всех антивирусных продуктов.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4.1.7.3. Разграничения ответственности ролей при доступе к отчетам.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Коды ответственности: Ф – формирует, И – использует.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7"/>
        <w:gridCol w:w="945"/>
        <w:gridCol w:w="1153"/>
        <w:gridCol w:w="1690"/>
        <w:gridCol w:w="1235"/>
        <w:gridCol w:w="1690"/>
        <w:gridCol w:w="1357"/>
      </w:tblGrid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Ввод данных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Удаление данных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Корректировка данных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Генерация отчетов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Корректировка документов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Ввод документов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Руководитель учреждения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Главный бухгалтер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Работник отдела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4.1.8. Требования по сохранности информации при авариях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4.1.9. Требования к защите от влияния внешних воздействий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Требования по стойкости, устойчивости и прочности к внешним воздействиям: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4.1.10. Требования по стандартизации и унификации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ERWin 4.х и BPWin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4.1.11. Дополнительные требования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должно разрабатываться и эксплуатироваться на уже имеющемся у Заказчика аппаратно-техническом комплексе. Необходимо создать отдельные самостоятельные зоны разработки и тестирования системы АИС. Для зоны разработки и тестирования должны использоваться те же программные средства, что и для зоны промышленной эксплуатации.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4.1.12. Требования безопасности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- 70 дБ - при работе технологического оборудования и средств вычислительной техники с печатающим устройством.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4.1.13. Требования к транспортабельности для подвижных АИС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 Требования к функциям, выполняемым системой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4.2.1. Подсистема сбора, обработки и загрузки данных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373"/>
              <w:gridCol w:w="224"/>
            </w:tblGrid>
            <w:tr>
              <w:trPr>
                <w:trHeight w:val="420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>
              <w:trPr>
                <w:trHeight w:val="299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Определение и изменение расписания процессов сбора, обработки и загрузки данных </w:t>
                  </w:r>
                </w:p>
              </w:tc>
            </w:tr>
            <w:tr>
              <w:trPr>
                <w:trHeight w:val="818" w:hRule="atLeast"/>
              </w:trPr>
              <w:tc>
                <w:tcPr>
                  <w:tcW w:w="437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ind w:firstLine="708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Выполнение процессов сбора, обработки и загрузки данных из источников в ХД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Обработка и преобразование извлечённых данных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меняющихся измерений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Протоколирует результаты сбора, обработки и загрузки данных </w:t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598"/>
            </w:tblGrid>
            <w:tr>
              <w:trPr>
                <w:trHeight w:val="299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Ведение журналов результатов сбора, обработки и загрузки данных 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Оперативное извещение пользователей о всех нештатных ситуациях в процессе работы подсистемы </w:t>
                  </w:r>
                </w:p>
              </w:tc>
            </w:tr>
          </w:tbl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модификации регламента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Определение и изменение расписания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расписания процессов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Запуск процедур сбора данных из систем источников, загрузка данных в область временного, постоянного хранения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После готовности данных в системах источниках, ежедневно во временном интервале 00:00 – 03:00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Обработка и преобразование извлечённых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Ежедневно, после появления всех извлечённых данных во временном интервале 00:00 – 06:00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ющихся измерений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Регулярно, при работе подсистемы для измерений соответствующего типа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Регулярно, при работе подсистемы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Оперативное извещение пользователей о всех нештатных ситуациях в процессе работы подсистемы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Регулярно, при возникновении нештатной ситуации в процессе работы подсистемы </w:t>
            </w:r>
          </w:p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  <w:t xml:space="preserve">4.2.1.3. 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Требования к качеству реализации функций, задач.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Данные в структурах БД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Текстовые файлы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момент выполнения сбора, обработки и загрузки данных 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позднее 15 минут после возникновения нештатной ситуации 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4.2.1.4. Перечень критериев отказа для каждой функции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Управляет процессами сбора, обработки и загрузки данных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управление, сбор, обработка данных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0,85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Запускает процессы сбора, обработки и загрузки данных из источников в ХД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0,75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0,75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3A3A3A"/>
          <w:sz w:val="24"/>
          <w:szCs w:val="24"/>
          <w:lang w:val="ru-RU"/>
        </w:rPr>
        <w:tab/>
        <w:t>А</w:t>
      </w:r>
      <w:r>
        <w:rPr>
          <w:rFonts w:cs="Times New Roman" w:ascii="Times New Roman" w:hAnsi="Times New Roman"/>
          <w:color w:val="3A3A3A"/>
          <w:sz w:val="24"/>
          <w:szCs w:val="24"/>
          <w:lang w:val="en-US"/>
        </w:rPr>
        <w:t xml:space="preserve">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>
      <w:pPr>
        <w:pStyle w:val="Normal"/>
        <w:spacing w:lineRule="auto" w:line="240" w:before="0" w:after="0"/>
        <w:jc w:val="both"/>
        <w:rPr>
          <w:color w:val="3A3A3A"/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3A3A3A"/>
          <w:sz w:val="28"/>
          <w:szCs w:val="28"/>
          <w:lang w:val="ru-RU"/>
        </w:rPr>
        <w:t xml:space="preserve">4.3. </w:t>
      </w:r>
      <w:r>
        <w:rPr>
          <w:rFonts w:cs="Times New Roman" w:ascii="Times New Roman" w:hAnsi="Times New Roman"/>
          <w:b/>
          <w:color w:val="3A3A3A"/>
          <w:sz w:val="28"/>
          <w:szCs w:val="28"/>
          <w:lang w:val="en-US"/>
        </w:rPr>
        <w:t>Требования к видам обеспечения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3A3A3A"/>
          <w:sz w:val="28"/>
          <w:szCs w:val="28"/>
          <w:lang w:val="ru-RU"/>
        </w:rPr>
        <w:t>4.3.1 Требования к математическому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3A3A3A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d537b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a3574b"/>
    <w:pPr>
      <w:widowControl/>
      <w:bidi w:val="0"/>
      <w:spacing w:lineRule="auto" w:line="240" w:before="0" w:after="0"/>
      <w:jc w:val="left"/>
    </w:pPr>
    <w:rPr>
      <w:rFonts w:ascii="Georgia" w:hAnsi="Georgia" w:cs="Georgia" w:eastAsia="Calibri"/>
      <w:color w:val="000000"/>
      <w:kern w:val="0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Application>LibreOffice/7.6.4.1$Windows_X86_64 LibreOffice_project/e19e193f88cd6c0525a17fb7a176ed8e6a3e2aa1</Application>
  <AppVersion>15.0000</AppVersion>
  <Pages>17</Pages>
  <Words>3506</Words>
  <Characters>25753</Characters>
  <CharactersWithSpaces>29051</CharactersWithSpaces>
  <Paragraphs>331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2024-01-28T16:29:00Z</dcterms:created>
  <dc:creator>Терентьева Юлия Владимировна</dc:creator>
  <dc:description/>
  <dc:language>ru-RU</dc:language>
  <cp:lastModifiedBy/>
  <dcterms:modified xsi:type="dcterms:W3CDTF">2024-02-06T20:34:53Z</dcterms:modified>
  <cp:revision>47</cp:revision>
  <dc:subject/>
  <dc:title>Пример (образец) проектного документа «Техническое задание на создание автоматизированной системы (АС)» согласно ГОСТ 34.602-89.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