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themeColor="text1"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Заказчика. Основным назначением АИС является автоматизация отчетной деятельности в бизнес-процессах Заказчика.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Заказчик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</w:rPr>
      </w:pPr>
      <w:r>
        <w:rPr>
          <w:rFonts w:cs="Times New Roman" w:ascii="Times New Roman" w:hAnsi="Times New Roman"/>
          <w:color w:themeColor="text1"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оперативной обработки данных Заказчика;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themeColor="text1"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Заказчика,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Конечный пользователь -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надежности общесистемного ПО и ПО, разрабатываемого Разработчиком;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в шапке отчетов должен использоваться логотип Заказчика.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АИС должно разрабатываться и эксплуатироваться на уже имеющемся у Заказчика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themeColor="text1"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themeColor="text1"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themeColor="text1"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cs="Times New Roman"/>
                <w:color w:themeColor="text1" w:val="000000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cs="Times New Roman"/>
                <w:color w:themeColor="text1" w:val="000000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themeColor="text1"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3A3A3A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3A3A3A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color w:val="3A3A3A"/>
          <w:lang w:val="ru-RU"/>
        </w:rPr>
      </w:pPr>
      <w:r>
        <w:rPr>
          <w:rFonts w:cs="Times New Roman" w:ascii="Times New Roman" w:hAnsi="Times New Roman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3A3A3A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color w:val="3A3A3A"/>
          <w:sz w:val="24"/>
          <w:szCs w:val="24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ru-RU"/>
        </w:rPr>
        <w:tab/>
      </w:r>
      <w:r>
        <w:rPr>
          <w:rFonts w:ascii="Times New Roman" w:hAnsi="Times New Roman"/>
          <w:color w:val="3A3A3A"/>
          <w:sz w:val="24"/>
          <w:szCs w:val="24"/>
          <w:lang w:val="ru-RU"/>
        </w:rPr>
        <w:t>С</w:t>
      </w:r>
      <w:r>
        <w:rPr>
          <w:rFonts w:ascii="Times New Roman" w:hAnsi="Times New Roman"/>
          <w:color w:val="3A3A3A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3A3A3A"/>
          <w:sz w:val="24"/>
          <w:szCs w:val="24"/>
        </w:rPr>
        <w:t>АИС</w:t>
      </w:r>
      <w:r>
        <w:rPr>
          <w:rFonts w:ascii="Times New Roman" w:hAnsi="Times New Roman"/>
          <w:color w:val="3A3A3A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color w:val="3A3A3A"/>
          <w:u w:val="none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3A3A3A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themeColor="text1"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Разработчиком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Заказчика.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>
          <w:color w:val="3A3A3A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Application>LibreOffice/7.6.4.1$Windows_X86_64 LibreOffice_project/e19e193f88cd6c0525a17fb7a176ed8e6a3e2aa1</Application>
  <AppVersion>15.0000</AppVersion>
  <Pages>18</Pages>
  <Words>3824</Words>
  <Characters>28093</Characters>
  <CharactersWithSpaces>31697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2024-02-06T20:47:01Z</dcterms:modified>
  <cp:revision>53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