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3A3A3A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3A3A3A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color w:val="3A3A3A"/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3A3A3A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color w:val="3A3A3A"/>
          <w:sz w:val="24"/>
          <w:szCs w:val="24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ab/>
      </w:r>
      <w:r>
        <w:rPr>
          <w:rFonts w:ascii="Times New Roman" w:hAnsi="Times New Roman"/>
          <w:color w:val="3A3A3A"/>
          <w:sz w:val="24"/>
          <w:szCs w:val="24"/>
          <w:lang w:val="ru-RU"/>
        </w:rPr>
        <w:t>С</w:t>
      </w:r>
      <w:r>
        <w:rPr>
          <w:rFonts w:ascii="Times New Roman" w:hAnsi="Times New Roman"/>
          <w:color w:val="3A3A3A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color w:val="3A3A3A"/>
          <w:u w:val="none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Заказчика.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классификаторы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color w:val="3A3A3A"/>
          <w:sz w:val="22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2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.3.2.8. Требования к контролю, хранению, обновлению и восстановлению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контролю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хранению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хранение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исторических данных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в системе должно производиться не более чем за 5 (пять) предыдущих лет. По истечению данного срока данные должны переходить в архив;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обновлению и восстановлению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холодная копия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логическая копия - ежемесячно (конец месяца);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инкрементальное резервное копирование - еженедельно (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воскресенье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архивирование - ежеквартально;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LibreOffice/7.6.4.1$Windows_X86_64 LibreOffice_project/e19e193f88cd6c0525a17fb7a176ed8e6a3e2aa1</Application>
  <AppVersion>15.0000</AppVersion>
  <Pages>19</Pages>
  <Words>4085</Words>
  <Characters>29867</Characters>
  <CharactersWithSpaces>33726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2024-02-06T20:49:42Z</dcterms:modified>
  <cp:revision>55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