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Güncel ve güvenilir veriler içeren bir besin veri tabanı, diyet alımlarının doğru hesaplanması için kritik önem arz etmektedir (Schakel ve diğerleri, 1988). Çoğu besin veri tabanı, USDA FoodData Central ve EuroFIR (EuroFIR AISBL, 2024) gibi güvenilir kaynaklardan alınan verilerle ve uzman kürasyonu ile hazırlanmakta; bu süreç, bilimsel literatürdeki verilerin hızla artmasına rağmen hâlâ büyük ölçüde manuel yürütülmektedir.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 (TÜBİTAK MAM Gıda Enstitüsü, 2014; KAMAG 1007), ancak kuruluşundan bu yana sistematik ve büyük ölçekli bir genişlemeye tabi tutulmamıştır. Manuel laboratuvar analizine dayanan bu yaklaşımın, ülkenin geniş tarımsal ve kültürel gıda çeşitliliğini kapsayacak biçimde ölçeklendirilmesi yüksek maliyetlidir.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ve EuroFIR gibi uluslararası gıda bileşimi veri tabanlarında bulunmamaktadır;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sağlayarak laboratuvar analizinin zorunlu olduğu durumların yerine geçmeyi değil, analiz ihtiyacını azaltabilecek ve belgelendirme kalitesini yükseltecek karar süreçlerini hedefler.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doğrulanmış ve düzenleyici uyum süreçlerinde kullanılabilecek ulusal referans veri.</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kapsam, lisans maliyeti veya yerel gıda çeşitliliği açısından yeterli değildir; simit, lahmacun, yöresel yemekler, yerel bakliyat ve tahıl çeşitleri gibi ürünler çoğu zaman ya eksiktir ya da yabancı muadillerle temsil edilir.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doğrulanmış gıda bileşimi veri tabanı sağlık teknolojisi, gıda sanayi ve araştırma kuruluşlarına sunulabilir; kademeli doğrulama motoru ise kendi gıda veri altyapısını dijitalleştirmek isteyen ülke veya kurumlara uyarlanabilir bir teknoloji olarak lisanslanabilir.</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Proje çıktısı, 1005 programının kapsamına uygun olarak bir yöntem/model (Kademeli Hibrit Zekâ çıkarma-doğrulama motoru) ile bunun ürünleşmiş biçimlerini (veri tabanı ve REST API) hedefler;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 Başlangıç: Doğrulama hattı olmayan tek model yaklaşımı; Hedef: Başlangıç sisteminde ≥%95; proje sonunda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 Başlangıç: Güven puanlaması yok; Hedef: Başlangıçta ≥%60; proje sonunda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 Başlangıç: Sistematik denetim yok; Hedef: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 Başlangıç: Lider ticari LLM tekil kullanımı; Hedef: Başlangıçta &lt;$0,03; proje sonunda &lt;$0,01</w:t>
            </w:r>
          </w:p>
          <w:p>
            <w:pPr>
              <w:spacing w:after="40" w:before="0" w:line="240" w:lineRule="auto"/>
            </w:pPr>
            <w:r>
              <w:rPr>
                <w:rFonts w:ascii="Arial" w:hAnsi="Arial" w:eastAsia="Arial"/>
                <w:sz w:val="18"/>
              </w:rPr>
              <w:t>Referans değerler, doğrulama hattı olmadan uygulanan, güçlü bir genel amaçlı ticari LLM'nin tek başına kullanıldığı yaklaşımı temsil eder. Tablodaki başlangıç değerleri ölçülmüş prototip sonuçları değil, ilk kalibrasyon hedefleridir; gerçek otomatik onay doğruluğu WP4 doğrulama günlükleriyle ölçülecektir. Nihai kıyaslama, değerlendirme tarihinde mevcut en güçlü ticari ve ağırlıkları açık modellerle yapılacaktır.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 Google Scholar yalnızca yasal/kurumsal arama ve doğrulama bağlamında yardımcı keşif kaynağı olarak değerlendirilecek; resmi API bulunmadığı için temel otomasyon kaynağı olarak konumlandırılmayacaktır.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işlemek.</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500.000 standartlaştırılmış gıda-besin kaydı çıkarmak (ilgili makale başına ortalama ~5 kayıt varsayımıyla).</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ürünü veya yerel ürün varyantını indekslemek.</w:t>
            </w:r>
          </w:p>
          <w:p>
            <w:pPr>
              <w:spacing w:after="40" w:before="0" w:line="240" w:lineRule="auto"/>
            </w:pPr>
            <w:r>
              <w:rPr>
                <w:rFonts w:ascii="Arial" w:hAnsi="Arial" w:eastAsia="Arial"/>
                <w:sz w:val="18"/>
              </w:rPr>
              <w:t>Bu ölçek hedefleri aynı doğrulama düzeyini ifade etmez: ≥100.000 ilgili makale L1-L3 hattında işlenerek aday/çıkarım havuzuna alınacak; otomatik kayıt hedefi faydalı bileşim verisi içeren alt kümeden üretilecek; ≥5.000 makale ve ≥25.000 kayıt ise uzman doğrulamalı altın standart bölümü oluşturacaktır.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(otomatik onay doğruluğu ≥%99,5, otomatik onay oranı ≥%90, veri tabanı hata oranı &lt;%0,5, makale başına maliyet &lt;$0,01), uzman geri bildirimiyle eğitilen alt katmanların zaman içinde iyileşmesiyle hedeflenir. Maliyet hedefleri otomatik işleme maliyetini ifade eder; uzman doğrulama emeği WP4'te ayrıca bütçelenir. Ölçütlerin tam tanımları Bölüm 4.7.1'dedir.</w:t>
            </w:r>
          </w:p>
          <w:p>
            <w:pPr>
              <w:spacing w:after="40" w:before="0" w:line="240" w:lineRule="auto"/>
            </w:pPr>
            <w:r>
              <w:rPr>
                <w:rFonts w:ascii="Arial" w:hAnsi="Arial" w:eastAsia="Arial"/>
                <w:sz w:val="18"/>
              </w:rPr>
              <w:t>Bunlara ek olarak, katmanlar arası öğrenmenin etkisini doğrudan ölçen bir gösterge izlenir: aynı zorluk dağılımı için, L4/L5 yükseltmesine gerek kalmadan L3'te otomatik çözülen makalelerin oranının, proje başındaki kalibrasyon düzeyine kıyasla WP4 boyunca anlamlı biçimde artması (hedef olarak en az +15 puan). Bu gösterge, uzman geri bildiriminin yalnızca bir kalite kontrol maliyeti değil, alt katmanları iyileştiren bir eğitim yatırımı olduğu yönündeki temel iddianın doğrudan kanıtıdır.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veri sunum (sorgu) REST API'sini &lt;200 ms (p95) yanıt süresi ve saniyede ≥100 istek işleme kapasitesiyle devreye almak. Bu hedef, kaynaklı kayıtları sunan veri tabanı/sorgu API'sine ilişkindir; yapay zekâ çıkarım gecikmesi ayrı bir büyüklüktür ve Bölüm 4.3 ile WP3'te ele alınır.</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verileri, gıda ontolojisi, sağlık önerileri ve kişiselleştirilmiş tavsiyeler.; OpenNutri ile Farkı: Tüketici tavsiye platformudur; bilimsel literatürden DOI kaynaklı 100 g bazlı bileşim verisi çıkarmaz, gıda bilimi doğrulama kademesi ve uzman geri bildirimli öğrenme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farklı olarak hem maliyet optimizasyonu hem de çok katmanlı doğrulama sağlar.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Statik eşiklere dayalı kademelerin yerine, proje boyunca doğrulama sonuçlarından öğrenen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500.000'den fazla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8"/>
              </w:rPr>
              <w:t>Birim ekonomisi ve başabaş (gösterge niteliğinde):</w:t>
            </w:r>
            <w:r>
              <w:rPr>
                <w:rFonts w:ascii="Arial" w:hAnsi="Arial" w:eastAsia="Arial"/>
                <w:sz w:val="18"/>
              </w:rPr>
              <w:t xml:space="preserve"> Ticarileşmenin maliyet temeli iki kalemden oluşur: makale başına bir defalık otomatik işleme maliyeti (Hedef 1'de proje sonunda &lt;$0,01 hedeflenir) ve API'yi ayakta tutan tekrarlayan altyapı maliyeti (Bölüm 3.4'te proje sonrası ~12.500 TL/yıl). Çıkarım maliyeti bir kayıt için yalnızca bir kez oluşur; üretilen kayıt çok sayıda API çağrısına neredeyse maliyetsiz biçimde yeniden sunulabildiğinden çağrı başına marjinal sunum maliyeti çok düşüktür. Bu yapı kademeli bir gelir modeline olanak tanır: ücretsiz akademik erişim, kullanım hacmine göre fiyatlanan ticari API abonelikleri ve toplu veri/lisans anlaşmaları. Gösterge niteliğindeki bir değerlendirmeyle, yıllık tekrarlayan işletme maliyetinin karşılanması yalnızca birkaç orta ölçekli kurumsal aboneliği gerektirir; bu nedenle başabaş noktasının düşük bir müşteri sayısında ulaşılabilir olduğu öngörülmektedir. Kesin fiyat kademeleri, çağrı başına sunum maliyeti ve ayrıntılı başabaş analizi; pilot sonuçlarına ve değerlendirme dönemindeki güncel model ve altyapı fiyatlarına göre Bölüm 6.3'teki ürünleşme yol haritasında nihaileştirilecektir.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Doğrulamayı yürüten iki gıda mühendisliği bursiyerinin (doğrulama penceresinin önemli bölümünde yüksek lisans düzeyindeki araştırmacılar) her biri günde ortalama 8-12 makale hedeflediğinde, Prof. Dr. Şumnu'nun protokol ve tahkim gözetiminde WP4 doğrulama penceresi boyunca yaklaşık 5.000 uzman doğrulamalı makale ve 25.000 altın standart kayıt üretilebilir. Aktif öğrenme kuyruğu, insan incelemesini en yüksek eğitim değeri taşıyan örneklere yönlendirerek bu kapasitenin verimli kullanılmasını sağlar.</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doğrulama durumu, uzman düzeltmeleri ve sürüm geçmişi.</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 tarama aşaması ağırlıkları açık Gemma ailesi bir modelle yürütülmektedir.</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16 Haziran 2026 itibarıyla 23.561 arama sonucu/hit kaydedilmiş, 4.733 benzersiz makale kaydı sisteme alınmış, 4.999 yapay zekâ çıkarım denemesi üretilmiş ve 339 makale uzman inceleme kuyruğuna yönlendirilmiştir.</w:t>
            </w:r>
          </w:p>
          <w:p>
            <w:pPr>
              <w:spacing w:after="40" w:before="0" w:line="240" w:lineRule="auto"/>
            </w:pPr>
            <w:r>
              <w:rPr>
                <w:rFonts w:ascii="Arial" w:hAnsi="Arial" w:eastAsia="Arial"/>
                <w:sz w:val="18"/>
              </w:rPr>
              <w:t>Bu prototip, projenin en yüksek riskli bileşeni olan çok parçalı sistem entegrasyonunu fiilen çalışır hale getirerek fizibilite riskini düşürmektedir. Proje desteği, prototipin eksik kalan araştırma bileşenlerini tamamlayacaktır: (1) tarama ve çıkarımın hazır/dışarıdan erişilen modellerden, kurum ve TRUBA/proje donanımında çalıştırılacak ince ayarlı ağırlıkları açık modellere taşınması; (2) gıda bilimi doğrulama kural motorunun sistematik olarak geliştirilmesi; (3) statik yönlendirme eşiklerinin yerine Öğrenilmiş Yönlendirici kurulması; (4) uzman düzeltmelerinin alt katmanları sürekli yeniden eğittiği öğrenme döngüsünün kapatılması.</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buraya eklenecek 1-2 somut yetkinlik/başarı son aşamada onaylanacaktır.]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500'den fazla analiz edilmiş gıda için güçlü bir temel sunsa da Türkiye'nin tarımsal ve kültürel gıda çeşitliliği çok daha geniştir. Bilimsel literatürde belgelenen birçok yerel gıda, yöresel ürün ve ürün varyantı USDA FoodData Central veya EuroFIR gibi uluslararası gıda bileşimi veri tabanlarında bulunmamaktadır.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w:t>
            </w:r>
          </w:p>
          <w:p>
            <w:pPr>
              <w:spacing w:after="40" w:before="0" w:line="240" w:lineRule="auto"/>
            </w:pPr>
            <w:r>
              <w:rPr>
                <w:rFonts w:ascii="Arial" w:hAnsi="Arial" w:eastAsia="Arial"/>
                <w:b/>
                <w:sz w:val="18"/>
              </w:rPr>
              <w:t>Ön kontrol bulgusu (aday boşluklar):</w:t>
            </w:r>
            <w:r>
              <w:rPr>
                <w:rFonts w:ascii="Arial" w:hAnsi="Arial" w:eastAsia="Arial"/>
                <w:sz w:val="18"/>
              </w:rPr>
              <w:t xml:space="preserve"> Açığın yönünü göstermek için USDA FoodData Central'ın referans bileşim veri setleri (SR Legacy ve FNDDS/Survey gıda adı alanları) üzerinde İngilizce/Latin harfli yazımlı anahtar kelimelerle ön bir tarama yapılmıştır. Bu taramada simit, lahmacun, tarhana, mantı, pekmez, künefe, boza, börek, kaşar ve ayran gibi yaygın Türk gıdalarına ait 100 g bazlı bileşim kaydına rastlanmamış; buna karşılık bulgur, Antep fıstığı ve baklava gibi daha geniş biçimde ihraç edilen ürünler bu setlerde temsil edilmiştir. Bu durum, boşluğun tüm Türk gıdalarını kapsayan genel bir eksiklik değil, ürün düzeyinde seçici bir eksiklik olduğunu göstermektedir. Söz konusu sonuç anahtar kelimeye dayalı bir ön taramadır; EuroFIR, TürKomp ve markalı ürün veri setleriyle henüz çapraz doğrulanmamıştır. Bu nedenle bu örnekler kanıtlanmış eksiklikler değil, yukarıda tanımlanan sistematik indekslemeyle doğrulanacak aday boşluklardır.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dil ve çıkarım katmanına göre tabakalı rastgele örnekleme ile yürütülecektir. &lt;%0,5 hata hedefinin istatistiksel olarak desteklenebilmesi için her denetim döngüsünde bir taban örneklem büyüklüğü uygulanır: binom güven aralığı mantığıyla, sıfır hatalı gözlemde %95 üst güven sınırı yaklaşık 3/n'dir ("üçler kuralı"); dolayısıyla küresel hata oranını %95 güvenle %0,5'in altında tutmak yaklaşık 600 kaydın hatasız denetlenmesini gerektirir; birkaç hatalı gözleme tolerans tanımak için döngü başına taban örneklem ~600-1.000 kayda çıkarılır. Bu taban örneklem küresel orana ilişkindir; tabakalandırma, örneklemi sınıflara dağıtmak ve sınıflar arası farklılıkları saptamak için kullanılır, her tabakaya ayrı bir %0,5 garantisi vermez. Yüksek riskli tabakalarda (karmaşık tablolar, taranmış PDF'ler, düşük kaynaklı diller gibi) hedefli aşırı örnekleme yapılır. Sayısal yükseltme kuralı: bir tabakanın gözlemlenen hata oranına ait %95 güven aralığının üst sınırı %0,5'i aştığında, o tabaka için otomatik kabul eşiği yükseltilir ve etkilenen kayıtlar L5 uzman doğrulamasına yönlendirilir.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kilitli bir test kümesi üzerinde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İş Paketinin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Sorumlu Ekip</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Aralığı</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Başarı Ölçütü ve Katkısı</w:t>
            </w:r>
          </w:p>
        </w:tc>
      </w:tr>
      <w:tr>
        <w:tc>
          <w:tcPr>
            <w:tcW w:type="dxa" w:w="558"/>
            <w:vAlign w:val="top"/>
          </w:tcPr>
          <w:p>
            <w:pPr>
              <w:spacing w:after="40" w:line="240" w:lineRule="auto"/>
            </w:pPr>
          </w:p>
          <w:p>
            <w:pPr>
              <w:spacing w:after="40" w:before="0" w:line="240" w:lineRule="auto"/>
            </w:pPr>
            <w:r>
              <w:rPr>
                <w:rFonts w:ascii="Arial" w:hAnsi="Arial" w:eastAsia="Arial"/>
                <w:sz w:val="18"/>
              </w:rPr>
              <w:t>1</w:t>
            </w:r>
          </w:p>
        </w:tc>
        <w:tc>
          <w:tcPr>
            <w:tcW w:type="dxa" w:w="2377"/>
            <w:vAlign w:val="top"/>
          </w:tcPr>
          <w:p>
            <w:pPr>
              <w:spacing w:after="40" w:line="240" w:lineRule="auto"/>
            </w:pPr>
          </w:p>
          <w:p>
            <w:pPr>
              <w:spacing w:after="40" w:before="0" w:line="240" w:lineRule="auto"/>
            </w:pPr>
            <w:r>
              <w:rPr>
                <w:rFonts w:ascii="Arial" w:hAnsi="Arial" w:eastAsia="Arial"/>
                <w:b/>
                <w:sz w:val="18"/>
              </w:rPr>
              <w:t>Akıllı Literatür Tarama ve L2 Sınıflandırma Hattı:</w:t>
            </w:r>
            <w:r>
              <w:rPr>
                <w:rFonts w:ascii="Arial" w:hAnsi="Arial" w:eastAsia="Arial"/>
                <w:sz w:val="18"/>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1-4. Aylar</w:t>
            </w:r>
          </w:p>
        </w:tc>
        <w:tc>
          <w:tcPr>
            <w:tcW w:type="dxa" w:w="6525"/>
            <w:vAlign w:val="top"/>
          </w:tcPr>
          <w:p>
            <w:pPr>
              <w:spacing w:after="40" w:line="240" w:lineRule="auto"/>
            </w:pPr>
          </w:p>
          <w:p>
            <w:pPr>
              <w:spacing w:after="40" w:before="0" w:line="240" w:lineRule="auto"/>
            </w:pPr>
            <w:r>
              <w:rPr>
                <w:rFonts w:ascii="Arial" w:hAnsi="Arial" w:eastAsia="Arial"/>
                <w:sz w:val="18"/>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8"/>
              </w:rPr>
              <w:t>2</w:t>
            </w:r>
          </w:p>
        </w:tc>
        <w:tc>
          <w:tcPr>
            <w:tcW w:type="dxa" w:w="2377"/>
            <w:vAlign w:val="top"/>
          </w:tcPr>
          <w:p>
            <w:pPr>
              <w:spacing w:after="40" w:line="240" w:lineRule="auto"/>
            </w:pPr>
          </w:p>
          <w:p>
            <w:pPr>
              <w:spacing w:after="40" w:before="0" w:line="240" w:lineRule="auto"/>
            </w:pPr>
            <w:r>
              <w:rPr>
                <w:rFonts w:ascii="Arial" w:hAnsi="Arial" w:eastAsia="Arial"/>
                <w:b/>
                <w:sz w:val="18"/>
              </w:rPr>
              <w:t>Çekirdek Çıkarma Motoru (L3):</w:t>
            </w:r>
            <w:r>
              <w:rPr>
                <w:rFonts w:ascii="Arial" w:hAnsi="Arial" w:eastAsia="Arial"/>
                <w:sz w:val="18"/>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3-8. Aylar</w:t>
            </w:r>
          </w:p>
        </w:tc>
        <w:tc>
          <w:tcPr>
            <w:tcW w:type="dxa" w:w="6525"/>
            <w:vAlign w:val="top"/>
          </w:tcPr>
          <w:p>
            <w:pPr>
              <w:spacing w:after="40" w:line="240" w:lineRule="auto"/>
            </w:pPr>
          </w:p>
          <w:p>
            <w:pPr>
              <w:spacing w:after="40" w:before="0" w:line="240" w:lineRule="auto"/>
            </w:pPr>
            <w:r>
              <w:rPr>
                <w:rFonts w:ascii="Arial" w:hAnsi="Arial" w:eastAsia="Arial"/>
                <w:sz w:val="18"/>
              </w:rPr>
              <w:t>L3 alt görevleri entegre; ≥10 doğrulama kuralı aktif; ticari API tabanlı referansa göre en az %30 maliyet düşüşü;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8"/>
              </w:rPr>
              <w:t>3</w:t>
            </w:r>
          </w:p>
        </w:tc>
        <w:tc>
          <w:tcPr>
            <w:tcW w:type="dxa" w:w="2377"/>
            <w:vAlign w:val="top"/>
          </w:tcPr>
          <w:p>
            <w:pPr>
              <w:spacing w:after="40" w:line="240" w:lineRule="auto"/>
            </w:pPr>
          </w:p>
          <w:p>
            <w:pPr>
              <w:spacing w:after="40" w:before="0" w:line="240" w:lineRule="auto"/>
            </w:pPr>
            <w:r>
              <w:rPr>
                <w:rFonts w:ascii="Arial" w:hAnsi="Arial" w:eastAsia="Arial"/>
                <w:b/>
                <w:sz w:val="18"/>
              </w:rPr>
              <w:t>Kademeli Entegrasyon ve Yönlendirici:</w:t>
            </w:r>
            <w:r>
              <w:rPr>
                <w:rFonts w:ascii="Arial" w:hAnsi="Arial" w:eastAsia="Arial"/>
                <w:sz w:val="18"/>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5-10. Aylar</w:t>
            </w:r>
          </w:p>
        </w:tc>
        <w:tc>
          <w:tcPr>
            <w:tcW w:type="dxa" w:w="6525"/>
            <w:vAlign w:val="top"/>
          </w:tcPr>
          <w:p>
            <w:pPr>
              <w:spacing w:after="40" w:line="240" w:lineRule="auto"/>
            </w:pPr>
          </w:p>
          <w:p>
            <w:pPr>
              <w:spacing w:after="40" w:before="0" w:line="240" w:lineRule="auto"/>
            </w:pPr>
            <w:r>
              <w:rPr>
                <w:rFonts w:ascii="Arial" w:hAnsi="Arial" w:eastAsia="Arial"/>
                <w:sz w:val="18"/>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8"/>
              </w:rPr>
              <w:t>4</w:t>
            </w:r>
          </w:p>
        </w:tc>
        <w:tc>
          <w:tcPr>
            <w:tcW w:type="dxa" w:w="2377"/>
            <w:vAlign w:val="top"/>
          </w:tcPr>
          <w:p>
            <w:pPr>
              <w:spacing w:after="40" w:line="240" w:lineRule="auto"/>
            </w:pPr>
          </w:p>
          <w:p>
            <w:pPr>
              <w:spacing w:after="40" w:before="0" w:line="240" w:lineRule="auto"/>
            </w:pPr>
            <w:r>
              <w:rPr>
                <w:rFonts w:ascii="Arial" w:hAnsi="Arial" w:eastAsia="Arial"/>
                <w:b/>
                <w:sz w:val="18"/>
              </w:rPr>
              <w:t>Uzman Doğrulama ve Katmanlar Arası Öğrenme:</w:t>
            </w:r>
            <w:r>
              <w:rPr>
                <w:rFonts w:ascii="Arial" w:hAnsi="Arial" w:eastAsia="Arial"/>
                <w:sz w:val="18"/>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4-16. Aylar</w:t>
            </w:r>
          </w:p>
        </w:tc>
        <w:tc>
          <w:tcPr>
            <w:tcW w:type="dxa" w:w="6525"/>
            <w:vAlign w:val="top"/>
          </w:tcPr>
          <w:p>
            <w:pPr>
              <w:spacing w:after="40" w:line="240" w:lineRule="auto"/>
            </w:pPr>
          </w:p>
          <w:p>
            <w:pPr>
              <w:spacing w:after="40" w:before="0" w:line="240" w:lineRule="auto"/>
            </w:pPr>
            <w:r>
              <w:rPr>
                <w:rFonts w:ascii="Arial" w:hAnsi="Arial" w:eastAsia="Arial"/>
                <w:sz w:val="18"/>
              </w:rPr>
              <w:t>≥5.000 uzman doğrulamalı makale; ≥25.000 altın standart kayıt; kabul edilen kayıtların rastgele denetiminde hata &lt;%0,5; otomatik onay oranı ≥%90; L3'te yükseltmesiz otomatik çözülen makale oranında kalibrasyona göre ölçülebilir artış (katmanlar arası öğrenme etkisi).</w:t>
            </w:r>
          </w:p>
        </w:tc>
      </w:tr>
      <w:tr>
        <w:tc>
          <w:tcPr>
            <w:tcW w:type="dxa" w:w="558"/>
            <w:vAlign w:val="top"/>
          </w:tcPr>
          <w:p>
            <w:pPr>
              <w:spacing w:after="40" w:line="240" w:lineRule="auto"/>
            </w:pPr>
          </w:p>
          <w:p>
            <w:pPr>
              <w:spacing w:after="40" w:before="0" w:line="240" w:lineRule="auto"/>
            </w:pPr>
            <w:r>
              <w:rPr>
                <w:rFonts w:ascii="Arial" w:hAnsi="Arial" w:eastAsia="Arial"/>
                <w:sz w:val="18"/>
              </w:rPr>
              <w:t>5</w:t>
            </w:r>
          </w:p>
        </w:tc>
        <w:tc>
          <w:tcPr>
            <w:tcW w:type="dxa" w:w="2377"/>
            <w:vAlign w:val="top"/>
          </w:tcPr>
          <w:p>
            <w:pPr>
              <w:spacing w:after="40" w:line="240" w:lineRule="auto"/>
            </w:pPr>
          </w:p>
          <w:p>
            <w:pPr>
              <w:spacing w:after="40" w:before="0" w:line="240" w:lineRule="auto"/>
            </w:pPr>
            <w:r>
              <w:rPr>
                <w:rFonts w:ascii="Arial" w:hAnsi="Arial" w:eastAsia="Arial"/>
                <w:b/>
                <w:sz w:val="18"/>
              </w:rPr>
              <w:t>Üretim API'si, Kıyaslama Doğrulaması ve Açık Araştırma Çıktıları:</w:t>
            </w:r>
            <w:r>
              <w:rPr>
                <w:rFonts w:ascii="Arial" w:hAnsi="Arial" w:eastAsia="Arial"/>
                <w:sz w:val="18"/>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14-18. Aylar</w:t>
            </w:r>
          </w:p>
        </w:tc>
        <w:tc>
          <w:tcPr>
            <w:tcW w:type="dxa" w:w="6525"/>
            <w:vAlign w:val="top"/>
          </w:tcPr>
          <w:p>
            <w:pPr>
              <w:spacing w:after="40" w:line="240" w:lineRule="auto"/>
            </w:pPr>
          </w:p>
          <w:p>
            <w:pPr>
              <w:spacing w:after="40" w:before="0" w:line="240" w:lineRule="auto"/>
            </w:pPr>
            <w:r>
              <w:rPr>
                <w:rFonts w:ascii="Arial" w:hAnsi="Arial" w:eastAsia="Arial"/>
                <w:sz w:val="18"/>
              </w:rPr>
              <w:t>≥500.000 gıda-besin kaydı; veri sunum API'si yayında (&lt;200 ms p95 sorgu yanıt süresi, ≥100 istek/saniye); açık veri ve kıyaslama raporu yayımlanır;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8"/>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Risk</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 Planı / Yönetim Yaklaşımı</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8"/>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GPU/NAS donanımının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8"/>
              </w:rPr>
              <w:t>Kritik geliştirme erken dönemde mevcut prototip donanımı, kurum kaynakları ve uygun olduğunda TRUBA üzerinde sürdürülür; satın alma proje başında başlatılır;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8"/>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8"/>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8"/>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8"/>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8"/>
              </w:rPr>
              <w:t>WP4</w:t>
            </w:r>
          </w:p>
        </w:tc>
        <w:tc>
          <w:tcPr>
            <w:tcW w:type="dxa" w:w="4178"/>
            <w:vAlign w:val="top"/>
          </w:tcPr>
          <w:p>
            <w:pPr>
              <w:spacing w:after="40" w:line="240" w:lineRule="auto"/>
            </w:pPr>
          </w:p>
          <w:p>
            <w:pPr>
              <w:spacing w:after="40" w:before="0" w:line="240" w:lineRule="auto"/>
            </w:pPr>
            <w:r>
              <w:rPr>
                <w:rFonts w:ascii="Arial" w:hAnsi="Arial" w:eastAsia="Arial"/>
                <w:sz w:val="18"/>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8"/>
              </w:rPr>
              <w:t>Aktif öğrenme kuyruğu en yüksek değerli makaleleri önceliklendirir; yönergeler sadeleştirilir; Prof. Dr. Şumnu gözetiminde eğitim/kalibrasyon artırılır; kalite hedefi korunarak hacim riski erken raporlanır.</w:t>
            </w:r>
          </w:p>
        </w:tc>
      </w:tr>
      <w:tr>
        <w:tc>
          <w:tcPr>
            <w:tcW w:type="dxa" w:w="651"/>
            <w:vAlign w:val="top"/>
          </w:tcPr>
          <w:p>
            <w:pPr>
              <w:spacing w:after="40" w:line="240" w:lineRule="auto"/>
            </w:pPr>
          </w:p>
          <w:p>
            <w:pPr>
              <w:spacing w:after="40" w:before="0" w:line="240" w:lineRule="auto"/>
            </w:pPr>
            <w:r>
              <w:rPr>
                <w:rFonts w:ascii="Arial" w:hAnsi="Arial" w:eastAsia="Arial"/>
                <w:sz w:val="18"/>
              </w:rPr>
              <w:t>WP3/WP4</w:t>
            </w:r>
          </w:p>
        </w:tc>
        <w:tc>
          <w:tcPr>
            <w:tcW w:type="dxa" w:w="4178"/>
            <w:vAlign w:val="top"/>
          </w:tcPr>
          <w:p>
            <w:pPr>
              <w:spacing w:after="40" w:line="240" w:lineRule="auto"/>
            </w:pPr>
          </w:p>
          <w:p>
            <w:pPr>
              <w:spacing w:after="40" w:before="0" w:line="240" w:lineRule="auto"/>
            </w:pPr>
            <w:r>
              <w:rPr>
                <w:rFonts w:ascii="Arial" w:hAnsi="Arial" w:eastAsia="Arial"/>
                <w:sz w:val="18"/>
              </w:rPr>
              <w:t>TRUBA hesaplama tahsisi gecikebilir veya beklenenden düşük olabilir.</w:t>
            </w:r>
          </w:p>
        </w:tc>
        <w:tc>
          <w:tcPr>
            <w:tcW w:type="dxa" w:w="4727"/>
            <w:vAlign w:val="top"/>
          </w:tcPr>
          <w:p>
            <w:pPr>
              <w:spacing w:after="40" w:line="240" w:lineRule="auto"/>
            </w:pPr>
          </w:p>
          <w:p>
            <w:pPr>
              <w:spacing w:after="40" w:before="0" w:line="240" w:lineRule="auto"/>
            </w:pPr>
            <w:r>
              <w:rPr>
                <w:rFonts w:ascii="Arial" w:hAnsi="Arial" w:eastAsia="Arial"/>
                <w:sz w:val="18"/>
              </w:rPr>
              <w:t>Ağır ince ayar işleri PEFT (LoRA/QLoRA) ile küçük donanıma sığacak biçimde tasarlanır; proje kapsamındaki GPU iş istasyonu PEFT ölçeğinde yedek hesaplama sağlar; iş yükü gerektiğinde kısa süreli bulut GPU'ya taşınır.</w:t>
            </w:r>
          </w:p>
        </w:tc>
      </w:tr>
      <w:tr>
        <w:tc>
          <w:tcPr>
            <w:tcW w:type="dxa" w:w="651"/>
            <w:vAlign w:val="top"/>
          </w:tcPr>
          <w:p>
            <w:pPr>
              <w:spacing w:after="40" w:line="240" w:lineRule="auto"/>
            </w:pPr>
          </w:p>
          <w:p>
            <w:pPr>
              <w:spacing w:after="40" w:before="0" w:line="240" w:lineRule="auto"/>
            </w:pPr>
            <w:r>
              <w:rPr>
                <w:rFonts w:ascii="Arial" w:hAnsi="Arial" w:eastAsia="Arial"/>
                <w:sz w:val="18"/>
              </w:rPr>
              <w:t>WP5</w:t>
            </w:r>
          </w:p>
        </w:tc>
        <w:tc>
          <w:tcPr>
            <w:tcW w:type="dxa" w:w="4178"/>
            <w:vAlign w:val="top"/>
          </w:tcPr>
          <w:p>
            <w:pPr>
              <w:spacing w:after="40" w:line="240" w:lineRule="auto"/>
            </w:pPr>
          </w:p>
          <w:p>
            <w:pPr>
              <w:spacing w:after="40" w:before="0" w:line="240" w:lineRule="auto"/>
            </w:pPr>
            <w:r>
              <w:rPr>
                <w:rFonts w:ascii="Arial" w:hAnsi="Arial" w:eastAsia="Arial"/>
                <w:sz w:val="18"/>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8"/>
              </w:rPr>
              <w:t>Veri tabanı hata hedefi L5 doğrulama ve rastgele denetimle korunur; otomatik onay oranı düşük kalırsa sistem daha fazla kaydı L5'e yönlendirir ve sonuçlar sınırlılık olarak raporlanır.</w:t>
            </w:r>
          </w:p>
        </w:tc>
      </w:tr>
      <w:tr>
        <w:tc>
          <w:tcPr>
            <w:tcW w:type="dxa" w:w="651"/>
            <w:vAlign w:val="top"/>
          </w:tcPr>
          <w:p>
            <w:pPr>
              <w:spacing w:after="40" w:line="240" w:lineRule="auto"/>
            </w:pPr>
          </w:p>
          <w:p>
            <w:pPr>
              <w:spacing w:after="40" w:before="0" w:line="240" w:lineRule="auto"/>
            </w:pPr>
            <w:r>
              <w:rPr>
                <w:rFonts w:ascii="Arial" w:hAnsi="Arial" w:eastAsia="Arial"/>
                <w:sz w:val="18"/>
              </w:rPr>
              <w:t>WP5 / Ticari</w:t>
            </w:r>
          </w:p>
        </w:tc>
        <w:tc>
          <w:tcPr>
            <w:tcW w:type="dxa" w:w="4178"/>
            <w:vAlign w:val="top"/>
          </w:tcPr>
          <w:p>
            <w:pPr>
              <w:spacing w:after="40" w:line="240" w:lineRule="auto"/>
            </w:pPr>
          </w:p>
          <w:p>
            <w:pPr>
              <w:spacing w:after="40" w:before="0" w:line="240" w:lineRule="auto"/>
            </w:pPr>
            <w:r>
              <w:rPr>
                <w:rFonts w:ascii="Arial" w:hAnsi="Arial" w:eastAsia="Arial"/>
                <w:sz w:val="18"/>
              </w:rPr>
              <w:t>Pilot ortaklıkları kurulamaz veya ticari talep beklenenden yavaş gelişir.</w:t>
            </w:r>
          </w:p>
        </w:tc>
        <w:tc>
          <w:tcPr>
            <w:tcW w:type="dxa" w:w="4727"/>
            <w:vAlign w:val="top"/>
          </w:tcPr>
          <w:p>
            <w:pPr>
              <w:spacing w:after="40" w:line="240" w:lineRule="auto"/>
            </w:pPr>
          </w:p>
          <w:p>
            <w:pPr>
              <w:spacing w:after="40" w:before="0" w:line="240" w:lineRule="auto"/>
            </w:pPr>
            <w:r>
              <w:rPr>
                <w:rFonts w:ascii="Arial" w:hAnsi="Arial" w:eastAsia="Arial"/>
                <w:sz w:val="18"/>
              </w:rPr>
              <w:t>Açık akademik veri seti ve yayınlar erken görünürlük ve güven sağlar; gelir tek bir alıcıya bağlanmaz, veri lisansı, API aboneliği ve doğrulama motoru lisansı olarak çeşitlendirilir; ürünleşme riski TÜBİTAK 1512 BiGG ve KOSGEB programlarıyla aşamalı biçimde azaltılır; pilotlar bağlayıcı olmayan niyet mektuplarıyla erken talep sinyali toplar.</w:t>
            </w:r>
          </w:p>
        </w:tc>
      </w:tr>
      <w:tr>
        <w:tc>
          <w:tcPr>
            <w:tcW w:type="dxa" w:w="651"/>
            <w:vAlign w:val="top"/>
          </w:tcPr>
          <w:p>
            <w:pPr>
              <w:spacing w:after="40" w:line="240" w:lineRule="auto"/>
            </w:pPr>
          </w:p>
          <w:p>
            <w:pPr>
              <w:spacing w:after="40" w:before="0" w:line="240" w:lineRule="auto"/>
            </w:pPr>
            <w:r>
              <w:rPr>
                <w:rFonts w:ascii="Arial" w:hAnsi="Arial" w:eastAsia="Arial"/>
                <w:sz w:val="18"/>
              </w:rPr>
              <w:t>Genel (Yasal)</w:t>
            </w:r>
          </w:p>
        </w:tc>
        <w:tc>
          <w:tcPr>
            <w:tcW w:type="dxa" w:w="4178"/>
            <w:vAlign w:val="top"/>
          </w:tcPr>
          <w:p>
            <w:pPr>
              <w:spacing w:after="40" w:line="240" w:lineRule="auto"/>
            </w:pPr>
          </w:p>
          <w:p>
            <w:pPr>
              <w:spacing w:after="40" w:before="0" w:line="240" w:lineRule="auto"/>
            </w:pPr>
            <w:r>
              <w:rPr>
                <w:rFonts w:ascii="Arial" w:hAnsi="Arial" w:eastAsia="Arial"/>
                <w:sz w:val="18"/>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8"/>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8"/>
              </w:rPr>
              <w:t>Yönetim</w:t>
            </w:r>
          </w:p>
        </w:tc>
        <w:tc>
          <w:tcPr>
            <w:tcW w:type="dxa" w:w="4178"/>
            <w:vAlign w:val="top"/>
          </w:tcPr>
          <w:p>
            <w:pPr>
              <w:spacing w:after="40" w:line="240" w:lineRule="auto"/>
            </w:pPr>
          </w:p>
          <w:p>
            <w:pPr>
              <w:spacing w:after="40" w:before="0" w:line="240" w:lineRule="auto"/>
            </w:pPr>
            <w:r>
              <w:rPr>
                <w:rFonts w:ascii="Arial" w:hAnsi="Arial" w:eastAsia="Arial"/>
                <w:sz w:val="18"/>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8"/>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Altyapı / Erişim Kanalı</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8"/>
              </w:rPr>
              <w:t>Ev sahibi kurum sunucuları ve proje kapsamında alınacak GPU/NAS donanımı</w:t>
            </w:r>
          </w:p>
        </w:tc>
        <w:tc>
          <w:tcPr>
            <w:tcW w:type="dxa" w:w="4641"/>
            <w:vAlign w:val="top"/>
          </w:tcPr>
          <w:p>
            <w:pPr>
              <w:spacing w:after="40" w:line="240" w:lineRule="auto"/>
            </w:pPr>
          </w:p>
          <w:p>
            <w:pPr>
              <w:spacing w:after="40" w:before="0" w:line="240" w:lineRule="auto"/>
            </w:pPr>
            <w:r>
              <w:rPr>
                <w:rFonts w:ascii="Arial" w:hAnsi="Arial" w:eastAsia="Arial"/>
                <w:sz w:val="18"/>
              </w:rPr>
              <w:t>Birincil veri tabanı, çıkarım servisleri, model kontrol noktaları, PDF/tam metin önbelleği ve yedekleme.</w:t>
            </w:r>
          </w:p>
        </w:tc>
      </w:tr>
      <w:tr>
        <w:tc>
          <w:tcPr>
            <w:tcW w:type="dxa" w:w="4915"/>
            <w:vAlign w:val="top"/>
          </w:tcPr>
          <w:p>
            <w:pPr>
              <w:spacing w:after="40" w:line="240" w:lineRule="auto"/>
            </w:pPr>
          </w:p>
          <w:p>
            <w:pPr>
              <w:spacing w:after="40" w:before="0" w:line="240" w:lineRule="auto"/>
            </w:pPr>
            <w:r>
              <w:rPr>
                <w:rFonts w:ascii="Arial" w:hAnsi="Arial" w:eastAsia="Arial"/>
                <w:sz w:val="18"/>
              </w:rPr>
              <w:t>TRUBA yüksek başarımlı hesaplama kaynakları (TÜBİTAK ULAKBİM, 2026; proje kabulü sonrası uygunluk ve kaynak tahsisi başvurusu yapılacak hesaplama kanalı)</w:t>
            </w:r>
          </w:p>
        </w:tc>
        <w:tc>
          <w:tcPr>
            <w:tcW w:type="dxa" w:w="4641"/>
            <w:vAlign w:val="top"/>
          </w:tcPr>
          <w:p>
            <w:pPr>
              <w:spacing w:after="40" w:line="240" w:lineRule="auto"/>
            </w:pPr>
          </w:p>
          <w:p>
            <w:pPr>
              <w:spacing w:after="40" w:before="0" w:line="240" w:lineRule="auto"/>
            </w:pPr>
            <w:r>
              <w:rPr>
                <w:rFonts w:ascii="Arial" w:hAnsi="Arial" w:eastAsia="Arial"/>
                <w:sz w:val="18"/>
              </w:rPr>
              <w:t>Büyük ölçekli LLM ince ayarı, RLHF/tercih temelli eğitim süreçleri ve model kıyaslaması; tahsis gecikirse PEFT ölçeğindeki işler proje GPU'su ve kurum kaynaklarıyla yürütülür.</w:t>
            </w:r>
          </w:p>
        </w:tc>
      </w:tr>
      <w:tr>
        <w:tc>
          <w:tcPr>
            <w:tcW w:type="dxa" w:w="4915"/>
            <w:vAlign w:val="top"/>
          </w:tcPr>
          <w:p>
            <w:pPr>
              <w:spacing w:after="40" w:line="240" w:lineRule="auto"/>
            </w:pPr>
          </w:p>
          <w:p>
            <w:pPr>
              <w:spacing w:after="40" w:before="0" w:line="240" w:lineRule="auto"/>
            </w:pPr>
            <w:r>
              <w:rPr>
                <w:rFonts w:ascii="Arial" w:hAnsi="Arial" w:eastAsia="Arial"/>
                <w:sz w:val="18"/>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8"/>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8"/>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8"/>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Öngörülen Zaman Aralığı</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Büyük ölçekli gıda bileşimi veri çıkarma kıyaslaması: ticari ve ağırlıkları açık LLM'ler ile OpenNutri'nin doğruluk, maliyet ve hız karşılaştırması; değerlendirme veri seti ve kodunun yayımlanması.</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Kademeli Hibrit Zekâ mimarisi makalesi: L1-L5 işlem hattı, Öğrenilmiş Yönlendirici, katmanlar arası öğrenme, ablasyon çalışmaları ve maliyet analizi.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OpenNutri-DB veri seti makalesi: veri tabanı tanımı, metodoloji, Türk gıda veri açığı analizi ve USDA/EuroFIR/TürKomp karşılaştırması.</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Veri Tabanı: en az 500.000 kaynağı izlenebilir gıda-besin kaydı, en az 5.000 özgün Türk gıda ürünü/varyantı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8"/>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8"/>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8"/>
              </w:rPr>
              <w:t>Gıda Bilimi ekibi: gıda bileşimi analizi, Türk gıda profillemesi, kalite kontrol protokolleri, USDA/EuroFIR/TürKomp çapraz referanslama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8"/>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8"/>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önceliklerinden gıda ve tarımın öncelikli gelişme alanı olarak güçlendirilmesi, gıda güvencesi, dijital dönüşüm, yerli ve milli teknoloji geliştirme ve yeşil dönüşüm hedefleriyle doğrudan ilişkilidir.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Öngörülen Zaman</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Türk yemek kültürüne uyarlanmış kanıta dayalı beslenme rehberliği; yerel gıdalar için daha doğru beslenme takibi ve diyet uygulamaları.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Sürdürülebilirlik</w:t>
            </w:r>
          </w:p>
        </w:tc>
        <w:tc>
          <w:tcPr>
            <w:tcW w:type="dxa" w:w="3544"/>
            <w:vAlign w:val="top"/>
          </w:tcPr>
          <w:p>
            <w:pPr>
              <w:spacing w:after="40" w:line="240" w:lineRule="auto"/>
            </w:pPr>
          </w:p>
          <w:p>
            <w:pPr>
              <w:spacing w:after="40" w:before="0" w:line="240" w:lineRule="auto"/>
            </w:pPr>
            <w:r>
              <w:rPr>
                <w:rFonts w:ascii="Arial" w:hAnsi="Arial" w:eastAsia="Arial"/>
                <w:sz w:val="18"/>
              </w:rPr>
              <w:t>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8"/>
              </w:rPr>
              <w:t>18-42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destekli gıda bileşimi çıkarımı için açık kıyaslama ve metodoloji; farmakoloji, çevre bilimi ve malzeme bilimi gibi alanlara aktarılabilir mimari.</w:t>
            </w:r>
          </w:p>
        </w:tc>
        <w:tc>
          <w:tcPr>
            <w:tcW w:type="dxa" w:w="2551"/>
            <w:vAlign w:val="top"/>
          </w:tcPr>
          <w:p>
            <w:pPr>
              <w:spacing w:after="40" w:line="240" w:lineRule="auto"/>
            </w:pPr>
          </w:p>
          <w:p>
            <w:pPr>
              <w:spacing w:after="40" w:before="0" w:line="240" w:lineRule="auto"/>
            </w:pPr>
            <w:r>
              <w:rPr>
                <w:rFonts w:ascii="Arial" w:hAnsi="Arial" w:eastAsia="Arial"/>
                <w:sz w:val="18"/>
              </w:rPr>
              <w:t>12-24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USDA FoodData Central, EFSA ve FAO/INFOODS gibi veri ekosistemleriyle uyumlu format sayesinde ulusal/uluslararası iş birliği zemini.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8"/>
              </w:rPr>
              <w:t>0-18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Veri lisanslama, API aboneliği ve doğrulama motoru uyarlamasıyla iki ana gelir kanalı.</w:t>
            </w:r>
          </w:p>
        </w:tc>
        <w:tc>
          <w:tcPr>
            <w:tcW w:type="dxa" w:w="2551"/>
            <w:vAlign w:val="top"/>
          </w:tcPr>
          <w:p>
            <w:pPr>
              <w:spacing w:after="40" w:line="240" w:lineRule="auto"/>
            </w:pPr>
          </w:p>
          <w:p>
            <w:pPr>
              <w:spacing w:after="40" w:before="0" w:line="240" w:lineRule="auto"/>
            </w:pPr>
            <w:r>
              <w:rPr>
                <w:rFonts w:ascii="Arial" w:hAnsi="Arial" w:eastAsia="Arial"/>
                <w:sz w:val="18"/>
              </w:rPr>
              <w:t>24-48 ay</w:t>
            </w:r>
          </w:p>
        </w:tc>
      </w:tr>
      <w:tr>
        <w:tc>
          <w:tcPr>
            <w:tcW w:type="dxa" w:w="3686"/>
            <w:vAlign w:val="top"/>
          </w:tcPr>
          <w:p>
            <w:pPr>
              <w:spacing w:after="40" w:line="240" w:lineRule="auto"/>
            </w:pPr>
          </w:p>
          <w:p>
            <w:pPr>
              <w:spacing w:after="40" w:before="0" w:line="240" w:lineRule="auto"/>
            </w:pPr>
            <w:r>
              <w:rPr>
                <w:rFonts w:ascii="Arial" w:hAnsi="Arial" w:eastAsia="Arial"/>
                <w:sz w:val="18"/>
              </w:rPr>
              <w:t>İstihdam</w:t>
            </w:r>
          </w:p>
        </w:tc>
        <w:tc>
          <w:tcPr>
            <w:tcW w:type="dxa" w:w="3544"/>
            <w:vAlign w:val="top"/>
          </w:tcPr>
          <w:p>
            <w:pPr>
              <w:spacing w:after="40" w:line="240" w:lineRule="auto"/>
            </w:pPr>
          </w:p>
          <w:p>
            <w:pPr>
              <w:spacing w:after="40" w:before="0" w:line="240" w:lineRule="auto"/>
            </w:pPr>
            <w:r>
              <w:rPr>
                <w:rFonts w:ascii="Arial" w:hAnsi="Arial" w:eastAsia="Arial"/>
                <w:sz w:val="18"/>
              </w:rPr>
              <w:t>Proje sonrası 2 yıl içinde veri operasyonları, API mühendisliği ve iş geliştirme rollerini kapsayan 5-10 kişilik spin-off hedefi; ekosistemde 10-20 dolaylı istihdam potansiyeli.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Rekabetçilik</w:t>
            </w:r>
          </w:p>
        </w:tc>
        <w:tc>
          <w:tcPr>
            <w:tcW w:type="dxa" w:w="3544"/>
            <w:vAlign w:val="top"/>
          </w:tcPr>
          <w:p>
            <w:pPr>
              <w:spacing w:after="40" w:line="240" w:lineRule="auto"/>
            </w:pPr>
          </w:p>
          <w:p>
            <w:pPr>
              <w:spacing w:after="40" w:before="0" w:line="240" w:lineRule="auto"/>
            </w:pPr>
            <w:r>
              <w:rPr>
                <w:rFonts w:ascii="Arial" w:hAnsi="Arial" w:eastAsia="Arial"/>
                <w:sz w:val="18"/>
              </w:rPr>
              <w:t>Yabancı besin veri tabanlarına bağımlılığı azaltan, Türk gıdalarını kapsayan ulusal alternatif; ihracat ve yerli sağlık teknolojileri için doğruluk avantajı.</w:t>
            </w:r>
          </w:p>
        </w:tc>
        <w:tc>
          <w:tcPr>
            <w:tcW w:type="dxa" w:w="2551"/>
            <w:vAlign w:val="top"/>
          </w:tcPr>
          <w:p>
            <w:pPr>
              <w:spacing w:after="40" w:line="240" w:lineRule="auto"/>
            </w:pPr>
          </w:p>
          <w:p>
            <w:pPr>
              <w:spacing w:after="40" w:before="0" w:line="240" w:lineRule="auto"/>
            </w:pPr>
            <w:r>
              <w:rPr>
                <w:rFonts w:ascii="Arial" w:hAnsi="Arial" w:eastAsia="Arial"/>
                <w:sz w:val="18"/>
              </w:rPr>
              <w:t>18-48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sz w:val="18"/>
              </w:rPr>
              <w:t>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r>
        <w:tc>
          <w:tcPr>
            <w:tcW w:type="dxa" w:w="3686"/>
            <w:vAlign w:val="top"/>
          </w:tcPr>
          <w:p>
            <w:pPr>
              <w:spacing w:after="40" w:line="240" w:lineRule="auto"/>
            </w:pPr>
          </w:p>
          <w:p>
            <w:pPr>
              <w:spacing w:after="40" w:before="0" w:line="240" w:lineRule="auto"/>
            </w:pPr>
            <w:r>
              <w:rPr>
                <w:rFonts w:ascii="Arial" w:hAnsi="Arial" w:eastAsia="Arial"/>
                <w:sz w:val="18"/>
              </w:rPr>
              <w:t>Veri Egemenliği / Siber Dayanıklılık</w:t>
            </w:r>
          </w:p>
        </w:tc>
        <w:tc>
          <w:tcPr>
            <w:tcW w:type="dxa" w:w="3544"/>
            <w:vAlign w:val="top"/>
          </w:tcPr>
          <w:p>
            <w:pPr>
              <w:spacing w:after="40" w:line="240" w:lineRule="auto"/>
            </w:pPr>
          </w:p>
          <w:p>
            <w:pPr>
              <w:spacing w:after="40" w:before="0" w:line="240" w:lineRule="auto"/>
            </w:pPr>
            <w:r>
              <w:rPr>
                <w:rFonts w:ascii="Arial" w:hAnsi="Arial" w:eastAsia="Arial"/>
                <w:sz w:val="18"/>
              </w:rPr>
              <w:t>Çekirdek veri ve model altyapısının kurum/proje donanımı ve tahsis alınan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 üç hedef sektörü temsil eden 2-3 kuruluşa ücretsiz pilot olarak sunulacaktır: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Pilot başarı ölçütleri:</w:t>
            </w:r>
            <w:r>
              <w:rPr>
                <w:rFonts w:ascii="Arial" w:hAnsi="Arial" w:eastAsia="Arial"/>
                <w:sz w:val="18"/>
              </w:rPr>
              <w:t xml:space="preserve"> Pilotlar, partner taahhüdü gerektirmeyen ve sistemin halihazırda izlediği göstergelere dayanan ölçütlerle değerlendirilecektir: partnerin kendi kullanım senaryosunda doğruladığı kaynaklı kayıt sayısı; bu kayıtlarda partnerin yaptığı düzeltme oranı (düşük düzeltme oranı, otomatik onay kalitesinin göstergesidir); manuel veri arama veya laboratuvar ön elemesinde sağlanan zaman ve iş gücü tasarrufu; ve pilot sonunda alınan bağlayıcı olmayan niyet/geri bildirim mektubu. Bu ölçütler, ürünleşme kararı ve fiyatlandırma için somut bir kanıt tabanı oluşturur.</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düzenli API/veri lisansı geliri ve en az bir uluslararası doğrulama motoru uyarlama veya 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ve Süre</w:t>
            </w:r>
          </w:p>
        </w:tc>
      </w:tr>
      <w:tr>
        <w:tc>
          <w:tcPr>
            <w:tcW w:type="dxa" w:w="3472"/>
            <w:vAlign w:val="top"/>
          </w:tcPr>
          <w:p>
            <w:pPr>
              <w:spacing w:after="40" w:line="240" w:lineRule="auto"/>
            </w:pPr>
          </w:p>
          <w:p>
            <w:pPr>
              <w:spacing w:after="40" w:before="0" w:line="240" w:lineRule="auto"/>
            </w:pPr>
            <w:r>
              <w:rPr>
                <w:rFonts w:ascii="Arial" w:hAnsi="Arial" w:eastAsia="Arial"/>
                <w:sz w:val="18"/>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8"/>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 </w:t>
            </w:r>
            <w:r>
              <w:rPr>
                <w:rFonts w:ascii="Arial" w:hAnsi="Arial" w:eastAsia="Arial"/>
                <w:sz w:val="18"/>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8"/>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8"/>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6. </w:t>
            </w:r>
            <w:r>
              <w:rPr>
                <w:rFonts w:ascii="Arial" w:hAnsi="Arial" w:eastAsia="Arial"/>
                <w:sz w:val="18"/>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8"/>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8"/>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8"/>
              </w:rPr>
              <w:t>12-18. aylar</w:t>
            </w:r>
          </w:p>
        </w:tc>
      </w:tr>
      <w:tr>
        <w:tc>
          <w:tcPr>
            <w:tcW w:type="dxa" w:w="3472"/>
            <w:vAlign w:val="top"/>
          </w:tcPr>
          <w:p>
            <w:pPr>
              <w:spacing w:after="40" w:line="240" w:lineRule="auto"/>
            </w:pPr>
          </w:p>
          <w:p>
            <w:pPr>
              <w:spacing w:after="40" w:before="0" w:line="240" w:lineRule="auto"/>
            </w:pPr>
            <w:r>
              <w:rPr>
                <w:rFonts w:ascii="Arial" w:hAnsi="Arial" w:eastAsia="Arial"/>
                <w:sz w:val="18"/>
              </w:rPr>
              <w:t>Açık araştırma veri seti yayını (Zenodo / HuggingFace)</w:t>
            </w:r>
          </w:p>
        </w:tc>
        <w:tc>
          <w:tcPr>
            <w:tcW w:type="dxa" w:w="3211"/>
            <w:vAlign w:val="top"/>
          </w:tcPr>
          <w:p>
            <w:pPr>
              <w:spacing w:after="40" w:line="240" w:lineRule="auto"/>
            </w:pPr>
          </w:p>
          <w:p>
            <w:pPr>
              <w:spacing w:after="40" w:before="0" w:line="240" w:lineRule="auto"/>
            </w:pPr>
            <w:r>
              <w:rPr>
                <w:rFonts w:ascii="Arial" w:hAnsi="Arial" w:eastAsia="Arial"/>
                <w:sz w:val="18"/>
              </w:rPr>
              <w:t>Küresel araştırma topluluğu, FAO/INFOODS, USDA/EFSA ekosistemi, sağlık teknolojisi geliştiricileri</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8"/>
              </w:rPr>
              <w:t>Yazılım geliştiriciler, sağlık teknolojisi şirketleri, beslenme uygulamaları</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8"/>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14.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Sektör tanıtım günü / paydaş toplantısı</w:t>
            </w:r>
          </w:p>
        </w:tc>
        <w:tc>
          <w:tcPr>
            <w:tcW w:type="dxa" w:w="3211"/>
            <w:vAlign w:val="top"/>
          </w:tcPr>
          <w:p>
            <w:pPr>
              <w:spacing w:after="40" w:line="240" w:lineRule="auto"/>
            </w:pPr>
          </w:p>
          <w:p>
            <w:pPr>
              <w:spacing w:after="40" w:before="0" w:line="240" w:lineRule="auto"/>
            </w:pPr>
            <w:r>
              <w:rPr>
                <w:rFonts w:ascii="Arial" w:hAnsi="Arial" w:eastAsia="Arial"/>
                <w:sz w:val="18"/>
              </w:rPr>
              <w:t>Gıda ihracatçıları, sağlık teknolojisi girişimleri, diyetisyenler, kamu paydaşları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16.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8"/>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8"/>
              </w:rPr>
              <w:t>15-18. aylar</w:t>
            </w:r>
          </w:p>
        </w:tc>
      </w:tr>
      <w:tr>
        <w:tc>
          <w:tcPr>
            <w:tcW w:type="dxa" w:w="3472"/>
            <w:vAlign w:val="top"/>
          </w:tcPr>
          <w:p>
            <w:pPr>
              <w:spacing w:after="40" w:line="240" w:lineRule="auto"/>
            </w:pPr>
          </w:p>
          <w:p>
            <w:pPr>
              <w:spacing w:after="40" w:before="0" w:line="240" w:lineRule="auto"/>
            </w:pPr>
            <w:r>
              <w:rPr>
                <w:rFonts w:ascii="Arial" w:hAnsi="Arial" w:eastAsia="Arial"/>
                <w:sz w:val="18"/>
              </w:rPr>
              <w:t>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8"/>
              </w:rPr>
              <w:t>TİM ve ilgili ihracatçı birlikleri, gıda ihracat şirketleri</w:t>
            </w:r>
          </w:p>
        </w:tc>
        <w:tc>
          <w:tcPr>
            <w:tcW w:type="dxa" w:w="2873"/>
            <w:vAlign w:val="top"/>
          </w:tcPr>
          <w:p>
            <w:pPr>
              <w:spacing w:after="40" w:line="240" w:lineRule="auto"/>
            </w:pPr>
          </w:p>
          <w:p>
            <w:pPr>
              <w:spacing w:after="40" w:before="0" w:line="240" w:lineRule="auto"/>
            </w:pPr>
            <w:r>
              <w:rPr>
                <w:rFonts w:ascii="Arial" w:hAnsi="Arial" w:eastAsia="Arial"/>
                <w:sz w:val="18"/>
              </w:rPr>
              <w:t>14-18. aylar</w:t>
            </w:r>
          </w:p>
        </w:tc>
      </w:tr>
      <w:tr>
        <w:tc>
          <w:tcPr>
            <w:tcW w:type="dxa" w:w="3472"/>
            <w:vAlign w:val="top"/>
          </w:tcPr>
          <w:p>
            <w:pPr>
              <w:spacing w:after="40" w:line="240" w:lineRule="auto"/>
            </w:pPr>
          </w:p>
          <w:p>
            <w:pPr>
              <w:spacing w:after="40" w:before="0" w:line="240" w:lineRule="auto"/>
            </w:pPr>
            <w:r>
              <w:rPr>
                <w:rFonts w:ascii="Arial" w:hAnsi="Arial" w:eastAsia="Arial"/>
                <w:sz w:val="18"/>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8"/>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18. </w:t>
            </w:r>
            <w:r>
              <w:rPr>
                <w:rFonts w:ascii="Arial" w:hAnsi="Arial" w:eastAsia="Arial"/>
                <w:sz w:val="18"/>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