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ve otomatik onay oranının artmasıyla, ek olarak Bölüm 4.7.3'teki öğrenme eğrileri ve yönlendirici pişmanlık analizleriyle izlenecektir.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aşamasının halihazırda ağırlıkları açık bir modelle (Gemma ailesi) çalışması, çekirdek çıkarımın kurumun kendi donanımında tümüyle yerinde (self-hosted) çalıştırılmasına geçişi yeni bir yetenek değil düşük riskli bir genişletme hâline getirir; ağırlıkları açık modeller, kapalı ticari API'lerin aksine kurum denetimindeki donanımda barındırılabildiğinden bu yapı Bölüm 6.2'de tanımlanan veri egemenliği kazanımını da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 PDF'ler, düşük kaynaklı diller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