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Bu düşük tutar, proje donanımı edinildikten sonraki değişken işleme/sunum maliyetini ifade eder; personel, satış, destek ve donanım amortismanı ticari fiyatlandırmada ayrıca dikkate alınacaktır.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kurum ve TRUBA/proje donanımında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yürütülmektedir; ancak mevcut prototipte bu modele bir hizmet sağlayıcının API'si üzerinden erişilmektedir. Çekirdek çıkarımın kurumun kendi donanımında ve tahsis alınan TRUBA kaynaklarında tümüyle yerinde (self-hosted) çalıştırılması proje kapsamındaki adımdır; bu geçiş yeni bir yetenek değil düşük riskli bir genişletmedir, çünkü ağırlıkları açık modeller kapalı ticari API'lerin aksine indirilip kurum denetimindeki donanımda barındırılabilir. Bu yerinde dağıtım, Bölüm 6.2'de tanımlanan veri egemenliği kazanımını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%95 üst güven sınırı yaklaşık 3/n'dir ("üçler kuralı"); dolayısıyla küresel hata oranını %95 güvenle %0,5'in altında tutmak yaklaşık 600 kaydın hatasız denetlenmesini gerektirir; birkaç hatalı gözleme tolerans tanımak için döngü başına taban örneklem ~600-1.000 kayda çıkarılır. Bu taban örneklem küresel orana ilişkindir; tabakalandırma, örneklemi sınıflara dağıtmak ve sınıflar arası farklılıkları saptamak için kullanılır, her tabakaya ayrı bir %0,5 garantisi vermez. Yüksek riskli tabakalarda (karmaşık tablolar, taranmış/OCR gerektiren PDF'ler, Türkçe yayınlar ve yeni model sürümleri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mevcut depolama/ağ altyapısı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ve PDF/tam metin önbelleği için temel sunucu, depolama ve ağ ortamı (proje kapsamında talep edilen GPU iş istasyonu ve NAS depolama EK-2 bütçesinde ayrıca yer almaktadır).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çeşitlendirilmiş gelir kanalları.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