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/>
        <w:suppressAutoHyphens w:val="false"/>
        <w:jc w:val="both"/>
        <w:rPr>
          <w:rFonts w:ascii="Arial" w:hAnsi="Arial" w:cs="Arial"/>
          <w:b/>
          <w:b/>
          <w:bCs/>
          <w:sz w:val="22"/>
          <w:szCs w:val="22"/>
          <w:lang w:val="tr-TR"/>
        </w:rPr>
      </w:pPr>
      <w:r>
        <w:rPr>
          <w:rFonts w:cs="Arial" w:ascii="Arial" w:hAnsi="Arial"/>
          <w:b/>
          <w:bCs/>
          <w:sz w:val="22"/>
          <w:szCs w:val="22"/>
          <w:lang w:val="tr-TR"/>
        </w:rPr>
        <w:t>EK-1: KAYNAKLAR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Agarwal, A., et al. (2014). Taming the monster: A fast and simple algorithm for contextual bandits. </w:t>
      </w:r>
      <w:r>
        <w:rPr>
          <w:rFonts w:ascii="Arial" w:hAnsi="Arial" w:eastAsia="Arial"/>
          <w:i/>
          <w:sz w:val="18"/>
        </w:rPr>
        <w:t>ICML</w:t>
      </w:r>
      <w:r>
        <w:rPr>
          <w:rFonts w:ascii="Arial" w:hAnsi="Arial" w:eastAsia="Arial"/>
          <w:sz w:val="18"/>
        </w:rPr>
        <w:t>, 1638–1646.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Cenikj, G., Strojnik, L., Angelski, R., Ogrinc, N., Koroušić Seljak, B., &amp; Eftimov, T. (2023). From language models to large-scale food and biomedical knowledge graphs. </w:t>
      </w:r>
      <w:r>
        <w:rPr>
          <w:rFonts w:ascii="Arial" w:hAnsi="Arial" w:eastAsia="Arial"/>
          <w:i/>
          <w:sz w:val="18"/>
        </w:rPr>
        <w:t>Scientific Reports</w:t>
      </w:r>
      <w:r>
        <w:rPr>
          <w:rFonts w:ascii="Arial" w:hAnsi="Arial" w:eastAsia="Arial"/>
          <w:sz w:val="18"/>
        </w:rPr>
        <w:t>, 13, 7815. https://doi.org/10.1038/s41598-023-34981-4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Chapelle, O., &amp; Li, L. (2011). An empirical evaluation of Thompson sampling. </w:t>
      </w:r>
      <w:r>
        <w:rPr>
          <w:rFonts w:ascii="Arial" w:hAnsi="Arial" w:eastAsia="Arial"/>
          <w:i/>
          <w:sz w:val="18"/>
        </w:rPr>
        <w:t>NeurIPS</w:t>
      </w:r>
      <w:r>
        <w:rPr>
          <w:rFonts w:ascii="Arial" w:hAnsi="Arial" w:eastAsia="Arial"/>
          <w:sz w:val="18"/>
        </w:rPr>
        <w:t>, 24.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Chen, L., et al. (2023). FrugalGPT: How to use large language models while reducing cost and improving performance. </w:t>
      </w:r>
      <w:r>
        <w:rPr>
          <w:rFonts w:ascii="Arial" w:hAnsi="Arial" w:eastAsia="Arial"/>
          <w:i/>
          <w:sz w:val="18"/>
        </w:rPr>
        <w:t>arXiv:2305.05176</w:t>
      </w:r>
      <w:r>
        <w:rPr>
          <w:rFonts w:ascii="Arial" w:hAnsi="Arial" w:eastAsia="Arial"/>
          <w:sz w:val="18"/>
        </w:rPr>
        <w:t>. https://doi.org/10.48550/arXiv.2305.05176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Chen, M., Xu, Z., Weinberger, K. Q., Chapelle, O., &amp; Kedem, D. (2012). Classifier cascade for minimizing feature evaluation cost. </w:t>
      </w:r>
      <w:r>
        <w:rPr>
          <w:rFonts w:ascii="Arial" w:hAnsi="Arial" w:eastAsia="Arial"/>
          <w:i/>
          <w:sz w:val="18"/>
        </w:rPr>
        <w:t>AISTATS (PMLR)</w:t>
      </w:r>
      <w:r>
        <w:rPr>
          <w:rFonts w:ascii="Arial" w:hAnsi="Arial" w:eastAsia="Arial"/>
          <w:sz w:val="18"/>
        </w:rPr>
        <w:t>, 218–226. https://proceedings.mlr.press/v22/chen12c.html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Dagdelen, J., Dunn, A., Lee, S., Walker, N., Rosen, A. S., Ceder, G., Persson, K. A., &amp; Jain, A. (2024). Structured information extraction from scientific text with large language models. </w:t>
      </w:r>
      <w:r>
        <w:rPr>
          <w:rFonts w:ascii="Arial" w:hAnsi="Arial" w:eastAsia="Arial"/>
          <w:i/>
          <w:sz w:val="18"/>
        </w:rPr>
        <w:t>Nature Communications</w:t>
      </w:r>
      <w:r>
        <w:rPr>
          <w:rFonts w:ascii="Arial" w:hAnsi="Arial" w:eastAsia="Arial"/>
          <w:sz w:val="18"/>
        </w:rPr>
        <w:t>, 15, 1418. https://doi.org/10.1038/s41467-024-45563-x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Dettmers, T., et al. (2023). QLoRA: Efficient finetuning of quantized language models. </w:t>
      </w:r>
      <w:r>
        <w:rPr>
          <w:rFonts w:ascii="Arial" w:hAnsi="Arial" w:eastAsia="Arial"/>
          <w:i/>
          <w:sz w:val="18"/>
        </w:rPr>
        <w:t>NeurIPS</w:t>
      </w:r>
      <w:r>
        <w:rPr>
          <w:rFonts w:ascii="Arial" w:hAnsi="Arial" w:eastAsia="Arial"/>
          <w:sz w:val="18"/>
        </w:rPr>
        <w:t>, 36. https://doi.org/10.48550/arXiv.2305.14314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Dooley, D.M., et al. (2018). FoodOn: A harmonized food ontology to increase global food traceability. </w:t>
      </w:r>
      <w:r>
        <w:rPr>
          <w:rFonts w:ascii="Arial" w:hAnsi="Arial" w:eastAsia="Arial"/>
          <w:i/>
          <w:sz w:val="18"/>
        </w:rPr>
        <w:t>npj Science of Food</w:t>
      </w:r>
      <w:r>
        <w:rPr>
          <w:rFonts w:ascii="Arial" w:hAnsi="Arial" w:eastAsia="Arial"/>
          <w:sz w:val="18"/>
        </w:rPr>
        <w:t>, 2(1), 1-10. https://doi.org/10.1038/s41538-018-0032-6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EFSA (2015). The food classification and description system FoodEx2 (revision 2). </w:t>
      </w:r>
      <w:r>
        <w:rPr>
          <w:rFonts w:ascii="Arial" w:hAnsi="Arial" w:eastAsia="Arial"/>
          <w:i/>
          <w:sz w:val="18"/>
        </w:rPr>
        <w:t>EFSA Supporting Publications</w:t>
      </w:r>
      <w:r>
        <w:rPr>
          <w:rFonts w:ascii="Arial" w:hAnsi="Arial" w:eastAsia="Arial"/>
          <w:sz w:val="18"/>
        </w:rPr>
        <w:t>, 12(5), EN-804. https://doi.org/10.2903/sp.efsa.2015.EN-804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Efron, B., &amp; Tibshirani, R.J. (1993). </w:t>
      </w:r>
      <w:r>
        <w:rPr>
          <w:rFonts w:ascii="Arial" w:hAnsi="Arial" w:eastAsia="Arial"/>
          <w:i/>
          <w:sz w:val="18"/>
        </w:rPr>
        <w:t>An Introduction to the Bootstrap</w:t>
      </w:r>
      <w:r>
        <w:rPr>
          <w:rFonts w:ascii="Arial" w:hAnsi="Arial" w:eastAsia="Arial"/>
          <w:sz w:val="18"/>
        </w:rPr>
        <w:t>. Chapman &amp; Hall/CRC. https://doi.org/10.1201/9780429246593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EuroFIR AISBL. (2024). </w:t>
      </w:r>
      <w:r>
        <w:rPr>
          <w:rFonts w:ascii="Arial" w:hAnsi="Arial" w:eastAsia="Arial"/>
          <w:i/>
          <w:sz w:val="18"/>
        </w:rPr>
        <w:t>European Food Information Resource (EuroFIR) food composition platform</w:t>
      </w:r>
      <w:r>
        <w:rPr>
          <w:rFonts w:ascii="Arial" w:hAnsi="Arial" w:eastAsia="Arial"/>
          <w:sz w:val="18"/>
        </w:rPr>
        <w:t>. https://www.eurofir.org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European Parliament and Council. (2011). </w:t>
      </w:r>
      <w:r>
        <w:rPr>
          <w:rFonts w:ascii="Arial" w:hAnsi="Arial" w:eastAsia="Arial"/>
          <w:i/>
          <w:sz w:val="18"/>
        </w:rPr>
        <w:t>Regulation (EU) No 1169/2011 on the provision of food information to consumers</w:t>
      </w:r>
      <w:r>
        <w:rPr>
          <w:rFonts w:ascii="Arial" w:hAnsi="Arial" w:eastAsia="Arial"/>
          <w:sz w:val="18"/>
        </w:rPr>
        <w:t>. EUR-Lex. https://eur-lex.europa.eu/eli/reg/2011/1169/oj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FAO/INFOODS (2012). </w:t>
      </w:r>
      <w:r>
        <w:rPr>
          <w:rFonts w:ascii="Arial" w:hAnsi="Arial" w:eastAsia="Arial"/>
          <w:i/>
          <w:sz w:val="18"/>
        </w:rPr>
        <w:t>FAO/INFOODS Guidelines for Food Matching</w:t>
      </w:r>
      <w:r>
        <w:rPr>
          <w:rFonts w:ascii="Arial" w:hAnsi="Arial" w:eastAsia="Arial"/>
          <w:sz w:val="18"/>
        </w:rPr>
        <w:t>. Rome: FAO.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Fedus, W., et al. (2022). Switch Transformers: Scaling to trillion parameter models. </w:t>
      </w:r>
      <w:r>
        <w:rPr>
          <w:rFonts w:ascii="Arial" w:hAnsi="Arial" w:eastAsia="Arial"/>
          <w:i/>
          <w:sz w:val="18"/>
        </w:rPr>
        <w:t>JMLR</w:t>
      </w:r>
      <w:r>
        <w:rPr>
          <w:rFonts w:ascii="Arial" w:hAnsi="Arial" w:eastAsia="Arial"/>
          <w:sz w:val="18"/>
        </w:rPr>
        <w:t>, 23(120), 1–39.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Greenfield, H., &amp; Southgate, D.A.T. (2003). </w:t>
      </w:r>
      <w:r>
        <w:rPr>
          <w:rFonts w:ascii="Arial" w:hAnsi="Arial" w:eastAsia="Arial"/>
          <w:i/>
          <w:sz w:val="18"/>
        </w:rPr>
        <w:t>Food Composition Data: Production, Management and Use</w:t>
      </w:r>
      <w:r>
        <w:rPr>
          <w:rFonts w:ascii="Arial" w:hAnsi="Arial" w:eastAsia="Arial"/>
          <w:sz w:val="18"/>
        </w:rPr>
        <w:t xml:space="preserve"> (2nd ed.). Rome: FAO.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Hestness, J., et al. (2017). Deep learning scaling is predictable, empirically. </w:t>
      </w:r>
      <w:r>
        <w:rPr>
          <w:rFonts w:ascii="Arial" w:hAnsi="Arial" w:eastAsia="Arial"/>
          <w:i/>
          <w:sz w:val="18"/>
        </w:rPr>
        <w:t>arXiv:1712.00409</w:t>
      </w:r>
      <w:r>
        <w:rPr>
          <w:rFonts w:ascii="Arial" w:hAnsi="Arial" w:eastAsia="Arial"/>
          <w:sz w:val="18"/>
        </w:rPr>
        <w:t>. https://doi.org/10.48550/arXiv.1712.00409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Hooton, F., Menichetti, G., &amp; Barabási, A.-L. (2020). Exploring food contents in scientific literature with FoodMine. </w:t>
      </w:r>
      <w:r>
        <w:rPr>
          <w:rFonts w:ascii="Arial" w:hAnsi="Arial" w:eastAsia="Arial"/>
          <w:i/>
          <w:sz w:val="18"/>
        </w:rPr>
        <w:t>Scientific Reports</w:t>
      </w:r>
      <w:r>
        <w:rPr>
          <w:rFonts w:ascii="Arial" w:hAnsi="Arial" w:eastAsia="Arial"/>
          <w:sz w:val="18"/>
        </w:rPr>
        <w:t>, 10, 16191. https://doi.org/10.1038/s41598-020-73105-0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Hu, E.J., et al. (2022). LoRA: Low-rank adaptation of large language models. </w:t>
      </w:r>
      <w:r>
        <w:rPr>
          <w:rFonts w:ascii="Arial" w:hAnsi="Arial" w:eastAsia="Arial"/>
          <w:i/>
          <w:sz w:val="18"/>
        </w:rPr>
        <w:t>ICLR</w:t>
      </w:r>
      <w:r>
        <w:rPr>
          <w:rFonts w:ascii="Arial" w:hAnsi="Arial" w:eastAsia="Arial"/>
          <w:sz w:val="18"/>
        </w:rPr>
        <w:t>. https://doi.org/10.48550/arXiv.2106.09685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Ispirova, G., Eftimov, T., &amp; Koroušić Seljak, B. (2020). P-NUT: Predicting NUTrient content from short text descriptions. </w:t>
      </w:r>
      <w:r>
        <w:rPr>
          <w:rFonts w:ascii="Arial" w:hAnsi="Arial" w:eastAsia="Arial"/>
          <w:i/>
          <w:sz w:val="18"/>
        </w:rPr>
        <w:t>Mathematics</w:t>
      </w:r>
      <w:r>
        <w:rPr>
          <w:rFonts w:ascii="Arial" w:hAnsi="Arial" w:eastAsia="Arial"/>
          <w:sz w:val="18"/>
        </w:rPr>
        <w:t>, 8(10), 1811. https://doi.org/10.3390/math8101811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Jankelow, A., Godneva, A., Rein, M., Samocha-Bonet, D., Weissglas-Volkov, D., Zohar, S., Shor, T., &amp; Segal, E. (2026). NutriMatch: harmonizing food composition databases with large language models for enhanced nutritional prediction. </w:t>
      </w:r>
      <w:r>
        <w:rPr>
          <w:rFonts w:ascii="Arial" w:hAnsi="Arial" w:eastAsia="Arial"/>
          <w:i/>
          <w:sz w:val="18"/>
        </w:rPr>
        <w:t>npj Digital Public Health</w:t>
      </w:r>
      <w:r>
        <w:rPr>
          <w:rFonts w:ascii="Arial" w:hAnsi="Arial" w:eastAsia="Arial"/>
          <w:sz w:val="18"/>
        </w:rPr>
        <w:t>, 1, 1. https://doi.org/10.1038/s44482-025-00001-7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Klensin, J.C., et al. (1989). </w:t>
      </w:r>
      <w:r>
        <w:rPr>
          <w:rFonts w:ascii="Arial" w:hAnsi="Arial" w:eastAsia="Arial"/>
          <w:i/>
          <w:sz w:val="18"/>
        </w:rPr>
        <w:t>Identification of Food Components for INFOODS Data Interchange</w:t>
      </w:r>
      <w:r>
        <w:rPr>
          <w:rFonts w:ascii="Arial" w:hAnsi="Arial" w:eastAsia="Arial"/>
          <w:sz w:val="18"/>
        </w:rPr>
        <w:t>. Tokyo: UNU Press.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Lattimore, T., &amp; Szepesvári, C. (2020). </w:t>
      </w:r>
      <w:r>
        <w:rPr>
          <w:rFonts w:ascii="Arial" w:hAnsi="Arial" w:eastAsia="Arial"/>
          <w:i/>
          <w:sz w:val="18"/>
        </w:rPr>
        <w:t>Bandit Algorithms</w:t>
      </w:r>
      <w:r>
        <w:rPr>
          <w:rFonts w:ascii="Arial" w:hAnsi="Arial" w:eastAsia="Arial"/>
          <w:sz w:val="18"/>
        </w:rPr>
        <w:t>. Cambridge University Press. https://doi.org/10.1017/9781108571401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Lewis, P., et al. (2020). Retrieval-augmented generation for knowledge-intensive NLP tasks. </w:t>
      </w:r>
      <w:r>
        <w:rPr>
          <w:rFonts w:ascii="Arial" w:hAnsi="Arial" w:eastAsia="Arial"/>
          <w:i/>
          <w:sz w:val="18"/>
        </w:rPr>
        <w:t>NeurIPS</w:t>
      </w:r>
      <w:r>
        <w:rPr>
          <w:rFonts w:ascii="Arial" w:hAnsi="Arial" w:eastAsia="Arial"/>
          <w:sz w:val="18"/>
        </w:rPr>
        <w:t>, 33, 9459–9474. https://doi.org/10.48550/arXiv.2005.11401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Li, L., et al. (2010). A contextual-bandit approach to personalized news article recommendation. </w:t>
      </w:r>
      <w:r>
        <w:rPr>
          <w:rFonts w:ascii="Arial" w:hAnsi="Arial" w:eastAsia="Arial"/>
          <w:i/>
          <w:sz w:val="18"/>
        </w:rPr>
        <w:t>WWW</w:t>
      </w:r>
      <w:r>
        <w:rPr>
          <w:rFonts w:ascii="Arial" w:hAnsi="Arial" w:eastAsia="Arial"/>
          <w:sz w:val="18"/>
        </w:rPr>
        <w:t>, 661–670. https://doi.org/10.1145/1772690.1772758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Lin, T.-Y., et al. (2017). Focal loss for dense object detection. </w:t>
      </w:r>
      <w:r>
        <w:rPr>
          <w:rFonts w:ascii="Arial" w:hAnsi="Arial" w:eastAsia="Arial"/>
          <w:i/>
          <w:sz w:val="18"/>
        </w:rPr>
        <w:t>ICCV</w:t>
      </w:r>
      <w:r>
        <w:rPr>
          <w:rFonts w:ascii="Arial" w:hAnsi="Arial" w:eastAsia="Arial"/>
          <w:sz w:val="18"/>
        </w:rPr>
        <w:t>, 2980–2988. https://doi.org/10.1109/ICCV.2017.324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MarketsandMarkets. (2025). </w:t>
      </w:r>
      <w:r>
        <w:rPr>
          <w:rFonts w:ascii="Arial" w:hAnsi="Arial" w:eastAsia="Arial"/>
          <w:i/>
          <w:sz w:val="18"/>
        </w:rPr>
        <w:t>Personalized Nutrition Market — Global Forecast to 2030</w:t>
      </w:r>
      <w:r>
        <w:rPr>
          <w:rFonts w:ascii="Arial" w:hAnsi="Arial" w:eastAsia="Arial"/>
          <w:sz w:val="18"/>
        </w:rPr>
        <w:t>. https://www.marketsandmarkets.com/PressReleases/personalized-nutrition.asp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McHugh, M.L. (2012). Interrater reliability: The kappa statistic. </w:t>
      </w:r>
      <w:r>
        <w:rPr>
          <w:rFonts w:ascii="Arial" w:hAnsi="Arial" w:eastAsia="Arial"/>
          <w:i/>
          <w:sz w:val="18"/>
        </w:rPr>
        <w:t>Biochemia Medica</w:t>
      </w:r>
      <w:r>
        <w:rPr>
          <w:rFonts w:ascii="Arial" w:hAnsi="Arial" w:eastAsia="Arial"/>
          <w:sz w:val="18"/>
        </w:rPr>
        <w:t>, 22(3), 276-282. https://doi.org/10.11613/BM.2012.031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Monarch, R.M. (2021). </w:t>
      </w:r>
      <w:r>
        <w:rPr>
          <w:rFonts w:ascii="Arial" w:hAnsi="Arial" w:eastAsia="Arial"/>
          <w:i/>
          <w:sz w:val="18"/>
        </w:rPr>
        <w:t>Human-in-the-Loop Machine Learning</w:t>
      </w:r>
      <w:r>
        <w:rPr>
          <w:rFonts w:ascii="Arial" w:hAnsi="Arial" w:eastAsia="Arial"/>
          <w:sz w:val="18"/>
        </w:rPr>
        <w:t>. Manning Publications.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Møller, A., et al. (2008). LanguaL 2006 – the LanguaL thesaurus. </w:t>
      </w:r>
      <w:r>
        <w:rPr>
          <w:rFonts w:ascii="Arial" w:hAnsi="Arial" w:eastAsia="Arial"/>
          <w:i/>
          <w:sz w:val="18"/>
        </w:rPr>
        <w:t>European Journal of Clinical Nutrition</w:t>
      </w:r>
      <w:r>
        <w:rPr>
          <w:rFonts w:ascii="Arial" w:hAnsi="Arial" w:eastAsia="Arial"/>
          <w:sz w:val="18"/>
        </w:rPr>
        <w:t>, 62, S272–S275. https://doi.org/10.1038/ejcn.2008.50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Mordor Intelligence. (2025). </w:t>
      </w:r>
      <w:r>
        <w:rPr>
          <w:rFonts w:ascii="Arial" w:hAnsi="Arial" w:eastAsia="Arial"/>
          <w:i/>
          <w:sz w:val="18"/>
        </w:rPr>
        <w:t>Diet and Nutrition Apps Market — Size, Share &amp; Growth Trends</w:t>
      </w:r>
      <w:r>
        <w:rPr>
          <w:rFonts w:ascii="Arial" w:hAnsi="Arial" w:eastAsia="Arial"/>
          <w:sz w:val="18"/>
        </w:rPr>
        <w:t>. https://www.mordorintelligence.com/industry-reports/diet-and-nutrition-apps-market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Ouyang, L., et al. (2022). Training language models to follow instructions with human feedback. </w:t>
      </w:r>
      <w:r>
        <w:rPr>
          <w:rFonts w:ascii="Arial" w:hAnsi="Arial" w:eastAsia="Arial"/>
          <w:i/>
          <w:sz w:val="18"/>
        </w:rPr>
        <w:t>NeurIPS</w:t>
      </w:r>
      <w:r>
        <w:rPr>
          <w:rFonts w:ascii="Arial" w:hAnsi="Arial" w:eastAsia="Arial"/>
          <w:sz w:val="18"/>
        </w:rPr>
        <w:t>, 35, 27730–27744. https://doi.org/10.48550/arXiv.2203.02155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Sanh, V., et al. (2019). DistilBERT: Smaller, faster, cheaper and lighter. </w:t>
      </w:r>
      <w:r>
        <w:rPr>
          <w:rFonts w:ascii="Arial" w:hAnsi="Arial" w:eastAsia="Arial"/>
          <w:i/>
          <w:sz w:val="18"/>
        </w:rPr>
        <w:t>arXiv:1910.01108</w:t>
      </w:r>
      <w:r>
        <w:rPr>
          <w:rFonts w:ascii="Arial" w:hAnsi="Arial" w:eastAsia="Arial"/>
          <w:sz w:val="18"/>
        </w:rPr>
        <w:t>. https://doi.org/10.48550/arXiv.1910.01108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Schakel, S.F., Sievert, Y.A., &amp; Buzzard, I.M. (1988). Sources of data for developing and maintaining a nutrient database. </w:t>
      </w:r>
      <w:r>
        <w:rPr>
          <w:rFonts w:ascii="Arial" w:hAnsi="Arial" w:eastAsia="Arial"/>
          <w:i/>
          <w:sz w:val="18"/>
        </w:rPr>
        <w:t>Journal of the American Dietetic Association</w:t>
      </w:r>
      <w:r>
        <w:rPr>
          <w:rFonts w:ascii="Arial" w:hAnsi="Arial" w:eastAsia="Arial"/>
          <w:sz w:val="18"/>
        </w:rPr>
        <w:t>, 88(10), 1268–1271. https://doi.org/10.1016/S0002-8223(21)07997-9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Semantic Scholar. (2026). </w:t>
      </w:r>
      <w:r>
        <w:rPr>
          <w:rFonts w:ascii="Arial" w:hAnsi="Arial" w:eastAsia="Arial"/>
          <w:i/>
          <w:sz w:val="18"/>
        </w:rPr>
        <w:t>Semantic Scholar Academic Graph API</w:t>
      </w:r>
      <w:r>
        <w:rPr>
          <w:rFonts w:ascii="Arial" w:hAnsi="Arial" w:eastAsia="Arial"/>
          <w:sz w:val="18"/>
        </w:rPr>
        <w:t>. https://www.semanticscholar.org/product/api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Settles, B. (2012). </w:t>
      </w:r>
      <w:r>
        <w:rPr>
          <w:rFonts w:ascii="Arial" w:hAnsi="Arial" w:eastAsia="Arial"/>
          <w:i/>
          <w:sz w:val="18"/>
        </w:rPr>
        <w:t>Active Learning</w:t>
      </w:r>
      <w:r>
        <w:rPr>
          <w:rFonts w:ascii="Arial" w:hAnsi="Arial" w:eastAsia="Arial"/>
          <w:sz w:val="18"/>
        </w:rPr>
        <w:t>. Morgan &amp; Claypool Publishers. https://doi.org/10.2200/S00429ED1V01Y201207AIM018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Seung, H.S., et al. (1992). Query by committee. </w:t>
      </w:r>
      <w:r>
        <w:rPr>
          <w:rFonts w:ascii="Arial" w:hAnsi="Arial" w:eastAsia="Arial"/>
          <w:i/>
          <w:sz w:val="18"/>
        </w:rPr>
        <w:t>COLT</w:t>
      </w:r>
      <w:r>
        <w:rPr>
          <w:rFonts w:ascii="Arial" w:hAnsi="Arial" w:eastAsia="Arial"/>
          <w:sz w:val="18"/>
        </w:rPr>
        <w:t>, 287–294. https://doi.org/10.1145/130385.130417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Shazeer, N., et al. (2017). Outrageously large neural networks: The sparsely-gated MoE layer. </w:t>
      </w:r>
      <w:r>
        <w:rPr>
          <w:rFonts w:ascii="Arial" w:hAnsi="Arial" w:eastAsia="Arial"/>
          <w:i/>
          <w:sz w:val="18"/>
        </w:rPr>
        <w:t>ICLR</w:t>
      </w:r>
      <w:r>
        <w:rPr>
          <w:rFonts w:ascii="Arial" w:hAnsi="Arial" w:eastAsia="Arial"/>
          <w:sz w:val="18"/>
        </w:rPr>
        <w:t>. https://doi.org/10.48550/arXiv.1701.06538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Shrout, P.E., &amp; Fleiss, J.L. (1979). Intraclass correlations: Uses in assessing rater reliability. </w:t>
      </w:r>
      <w:r>
        <w:rPr>
          <w:rFonts w:ascii="Arial" w:hAnsi="Arial" w:eastAsia="Arial"/>
          <w:i/>
          <w:sz w:val="18"/>
        </w:rPr>
        <w:t>Psychological Bulletin</w:t>
      </w:r>
      <w:r>
        <w:rPr>
          <w:rFonts w:ascii="Arial" w:hAnsi="Arial" w:eastAsia="Arial"/>
          <w:sz w:val="18"/>
        </w:rPr>
        <w:t>, 86(2), 420–428. https://doi.org/10.1037/0033-2909.86.2.420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Smock, B., et al. (2022). PubTables-1M: Towards comprehensive table extraction. </w:t>
      </w:r>
      <w:r>
        <w:rPr>
          <w:rFonts w:ascii="Arial" w:hAnsi="Arial" w:eastAsia="Arial"/>
          <w:i/>
          <w:sz w:val="18"/>
        </w:rPr>
        <w:t>CVPR</w:t>
      </w:r>
      <w:r>
        <w:rPr>
          <w:rFonts w:ascii="Arial" w:hAnsi="Arial" w:eastAsia="Arial"/>
          <w:sz w:val="18"/>
        </w:rPr>
        <w:t>, 4634–4642. https://doi.org/10.1109/CVPR52688.2022.00459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Turc, I., et al. (2019). Well-read students learn better: On the importance of pre-training compact models. </w:t>
      </w:r>
      <w:r>
        <w:rPr>
          <w:rFonts w:ascii="Arial" w:hAnsi="Arial" w:eastAsia="Arial"/>
          <w:i/>
          <w:sz w:val="18"/>
        </w:rPr>
        <w:t>arXiv:1908.08962</w:t>
      </w:r>
      <w:r>
        <w:rPr>
          <w:rFonts w:ascii="Arial" w:hAnsi="Arial" w:eastAsia="Arial"/>
          <w:sz w:val="18"/>
        </w:rPr>
        <w:t>. https://doi.org/10.48550/arXiv.1908.08962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TÜBİTAK MAM Gıda Enstitüsü (2014). </w:t>
      </w:r>
      <w:r>
        <w:rPr>
          <w:rFonts w:ascii="Arial" w:hAnsi="Arial" w:eastAsia="Arial"/>
          <w:i/>
          <w:sz w:val="18"/>
        </w:rPr>
        <w:t>Türkiye'nin Ulusal Gıda Kompozisyon Veri Tabanı (TürKomp)</w:t>
      </w:r>
      <w:r>
        <w:rPr>
          <w:rFonts w:ascii="Arial" w:hAnsi="Arial" w:eastAsia="Arial"/>
          <w:sz w:val="18"/>
        </w:rPr>
        <w:t>. TÜBİTAK Marmara Araştırma Merkezi. https://mam.tubitak.gov.tr/turkiyenin-ulusal-gida-kompozisyon-veri-tabani/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TÜBİTAK ULAKBİM. (2026). </w:t>
      </w:r>
      <w:r>
        <w:rPr>
          <w:rFonts w:ascii="Arial" w:hAnsi="Arial" w:eastAsia="Arial"/>
          <w:i/>
          <w:sz w:val="18"/>
        </w:rPr>
        <w:t>TRUBA Başvuru ve yüksek başarımlı hesaplama altyapısı</w:t>
      </w:r>
      <w:r>
        <w:rPr>
          <w:rFonts w:ascii="Arial" w:hAnsi="Arial" w:eastAsia="Arial"/>
          <w:sz w:val="18"/>
        </w:rPr>
        <w:t>. https://www.truba.gov.tr/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Viola, P., &amp; Jones, M. (2001). Rapid object detection using a boosted cascade. </w:t>
      </w:r>
      <w:r>
        <w:rPr>
          <w:rFonts w:ascii="Arial" w:hAnsi="Arial" w:eastAsia="Arial"/>
          <w:i/>
          <w:sz w:val="18"/>
        </w:rPr>
        <w:t>CVPR</w:t>
      </w:r>
      <w:r>
        <w:rPr>
          <w:rFonts w:ascii="Arial" w:hAnsi="Arial" w:eastAsia="Arial"/>
          <w:sz w:val="18"/>
        </w:rPr>
        <w:t>, 1, 511–518. https://doi.org/10.1109/CVPR.2001.990517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Youn, J., Li, F., Simmons, G., Kim, S., &amp; Tagkopoulos, I. (2024). FoodAtlas: Automated knowledge extraction of food and chemicals from literature. </w:t>
      </w:r>
      <w:r>
        <w:rPr>
          <w:rFonts w:ascii="Arial" w:hAnsi="Arial" w:eastAsia="Arial"/>
          <w:i/>
          <w:sz w:val="18"/>
        </w:rPr>
        <w:t>Computers in Biology and Medicine</w:t>
      </w:r>
      <w:r>
        <w:rPr>
          <w:rFonts w:ascii="Arial" w:hAnsi="Arial" w:eastAsia="Arial"/>
          <w:sz w:val="18"/>
        </w:rPr>
        <w:t>, 109072. https://doi.org/10.1016/j.compbiomed.2024.109072</w:t>
      </w:r>
    </w:p>
    <w:p>
      <w:pPr>
        <w:spacing w:after="60" w:before="0" w:line="240" w:lineRule="auto"/>
        <w:ind w:left="198" w:hanging="113"/>
      </w:pPr>
      <w:r>
        <w:rPr>
          <w:rFonts w:ascii="Arial" w:hAnsi="Arial" w:eastAsia="Arial"/>
          <w:sz w:val="18"/>
        </w:rPr>
        <w:t xml:space="preserve">• </w:t>
      </w:r>
      <w:r>
        <w:rPr>
          <w:rFonts w:ascii="Arial" w:hAnsi="Arial" w:eastAsia="Arial"/>
          <w:sz w:val="18"/>
        </w:rPr>
        <w:t xml:space="preserve">Yue, M., et al. (2024). Large language model cascades with mixture of thought representations for cost-efficient reasoning. </w:t>
      </w:r>
      <w:r>
        <w:rPr>
          <w:rFonts w:ascii="Arial" w:hAnsi="Arial" w:eastAsia="Arial"/>
          <w:i/>
          <w:sz w:val="18"/>
        </w:rPr>
        <w:t>ICLR</w:t>
      </w:r>
      <w:r>
        <w:rPr>
          <w:rFonts w:ascii="Arial" w:hAnsi="Arial" w:eastAsia="Arial"/>
          <w:sz w:val="18"/>
        </w:rPr>
        <w:t>. https://doi.org/10.48550/arXiv.2310.03094</w:t>
      </w:r>
    </w:p>
    <w:sectPr>
      <w:footerReference w:type="default" r:id="rId3"/>
      <w:type w:val="nextPage"/>
      <w:pgSz w:w="11906" w:h="16838"/>
      <w:pgMar w:left="1077" w:right="1077" w:gutter="0" w:header="0" w:top="1440" w:footer="851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2"/>
    <w:family w:val="roman"/>
    <w:pitch w:val="variable"/>
  </w:font>
  <w:font w:name="Courier New">
    <w:charset w:val="a2"/>
    <w:family w:val="modern"/>
    <w:pitch w:val="default"/>
  </w:font>
  <w:font w:name="Wingdings">
    <w:charset w:val="02"/>
    <w:family w:val="auto"/>
    <w:pitch w:val="variable"/>
  </w:font>
  <w:font w:name="Arial">
    <w:charset w:val="a2"/>
    <w:family w:val="swiss"/>
    <w:pitch w:val="variable"/>
  </w:font>
  <w:font w:name="Arial Unicode MS">
    <w:charset w:val="00"/>
    <w:family w:val="swiss"/>
    <w:pitch w:val="variable"/>
  </w:font>
  <w:font w:name="Tahoma">
    <w:charset w:val="a2"/>
    <w:family w:val="swiss"/>
    <w:pitch w:val="variable"/>
  </w:font>
  <w:font w:name="Calibri">
    <w:charset w:val="a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  <w:szCs w:val="16"/>
      </w:rPr>
      <w:t>1005BF-01  Güncelleme Tarihi: 30/07/2018</w:t>
    </w:r>
  </w:p>
  <w:p>
    <w:pPr>
      <w:pStyle w:val="Footer"/>
      <w:rPr>
        <w:sz w:val="16"/>
        <w:szCs w:val="16"/>
      </w:rPr>
    </w:pPr>
    <w:r>
      <w:rPr>
        <w:sz w:val="16"/>
        <w:szCs w:val="16"/>
      </w:rPr>
    </w:r>
  </w:p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Arial" w:hAnsi="Arial" w:eastAsia="Arial" w:cs="Times New Roman"/>
      <w:color w:val="auto"/>
      <w:sz w:val="18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left="0" w:right="0" w:hanging="0"/>
      <w:outlineLvl w:val="0"/>
    </w:pPr>
    <w:rPr>
      <w:b/>
      <w:bCs/>
      <w:szCs w:val="24"/>
      <w:lang w:val="tr-TR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b/>
      <w:bCs/>
      <w:color w:val="000000"/>
    </w:rPr>
  </w:style>
  <w:style w:type="character" w:styleId="WW8Num8z1">
    <w:name w:val="WW8Num8z1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rFonts w:ascii="Symbol" w:hAnsi="Symbol" w:eastAsia="Calibri" w:cs="Arial"/>
      <w:b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2z1">
    <w:name w:val="WW8Num22z1"/>
    <w:qFormat/>
    <w:rPr>
      <w:rFonts w:ascii="Courier New" w:hAnsi="Courier New" w:cs="Courier New"/>
      <w:sz w:val="20"/>
    </w:rPr>
  </w:style>
  <w:style w:type="character" w:styleId="WW8Num22z2">
    <w:name w:val="WW8Num22z2"/>
    <w:qFormat/>
    <w:rPr>
      <w:rFonts w:ascii="Wingdings" w:hAnsi="Wingdings" w:cs="Wingdings"/>
      <w:sz w:val="20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5">
    <w:name w:val="WW8Num26z5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VarsaylanParagrafYazTipi4">
    <w:name w:val="Varsayılan Paragraf Yazı Tipi4"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VarsaylanParagrafYazTipi4"/>
    <w:rPr/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3">
    <w:name w:val="WW8Num6z3"/>
    <w:qFormat/>
    <w:rPr>
      <w:rFonts w:ascii="Symbol" w:hAnsi="Symbol" w:cs="Symbol"/>
    </w:rPr>
  </w:style>
  <w:style w:type="character" w:styleId="WWDefaultParagraphFont">
    <w:name w:val="WW-Default Paragraph Font"/>
    <w:qFormat/>
    <w:rPr/>
  </w:style>
  <w:style w:type="character" w:styleId="WWDefaultParagraphFont1">
    <w:name w:val="WW-Default Paragraph Font1"/>
    <w:qFormat/>
    <w:rPr/>
  </w:style>
  <w:style w:type="character" w:styleId="AbsatzStandardschriftart">
    <w:name w:val="Absatz-Standardschriftart"/>
    <w:qFormat/>
    <w:rPr/>
  </w:style>
  <w:style w:type="character" w:styleId="WWDefaultParagraphFont11">
    <w:name w:val="WW-Default Paragraph Font11"/>
    <w:qFormat/>
    <w:rPr/>
  </w:style>
  <w:style w:type="character" w:styleId="VarsaylanParagrafYazTipi2">
    <w:name w:val="Varsayılan Paragraf Yazı Tipi2"/>
    <w:qFormat/>
    <w:rPr/>
  </w:style>
  <w:style w:type="character" w:styleId="WWAbsatzStandardschriftart">
    <w:name w:val="WW-Absatz-Standardschriftart"/>
    <w:qFormat/>
    <w:rPr/>
  </w:style>
  <w:style w:type="character" w:styleId="WWVarsaylanParagrafYazTipi">
    <w:name w:val="WW-Varsayılan Paragraf Yazı Tipi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1">
    <w:name w:val="Varsayılan Paragraf Yazı Tipi1"/>
    <w:qFormat/>
    <w:rPr/>
  </w:style>
  <w:style w:type="character" w:styleId="WWAbsatzStandardschriftart1">
    <w:name w:val="WW-Absatz-Standardschriftart1"/>
    <w:qFormat/>
    <w:rPr/>
  </w:style>
  <w:style w:type="character" w:styleId="WWDefaultParagraphFont111">
    <w:name w:val="WW-Default Paragraph Font111"/>
    <w:qFormat/>
    <w:rPr/>
  </w:style>
  <w:style w:type="character" w:styleId="WWDefaultParagraphFont1111">
    <w:name w:val="WW-Default Paragraph Font1111"/>
    <w:qFormat/>
    <w:rPr/>
  </w:style>
  <w:style w:type="character" w:styleId="WWDefaultParagraphFont11111">
    <w:name w:val="WW-Default Paragraph Font11111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DefaultParagraphFont111111">
    <w:name w:val="WW-Default Paragraph Font111111"/>
    <w:qFormat/>
    <w:rPr/>
  </w:style>
  <w:style w:type="character" w:styleId="VisitedInternetLink">
    <w:name w:val="FollowedHyperlink"/>
    <w:rPr>
      <w:color w:val="800080"/>
      <w:u w:val="single"/>
    </w:rPr>
  </w:style>
  <w:style w:type="character" w:styleId="NumberingSymbols">
    <w:name w:val="Numbering Symbols"/>
    <w:qFormat/>
    <w:rPr/>
  </w:style>
  <w:style w:type="character" w:styleId="WWNumberingSymbols">
    <w:name w:val="WW-Numbering Symbols"/>
    <w:qFormat/>
    <w:rPr/>
  </w:style>
  <w:style w:type="character" w:styleId="Emphasis">
    <w:name w:val="Emphasis"/>
    <w:qFormat/>
    <w:rPr>
      <w:i/>
      <w:iCs/>
    </w:rPr>
  </w:style>
  <w:style w:type="character" w:styleId="NormalkiYanaYaslaChar">
    <w:name w:val="Normal + İki Yana Yasla Char"/>
    <w:qFormat/>
    <w:rPr>
      <w:sz w:val="24"/>
      <w:lang w:val="en-US" w:bidi="ar-SA"/>
    </w:rPr>
  </w:style>
  <w:style w:type="character" w:styleId="AklamaBavurusu">
    <w:name w:val="Açıklama Başvurusu"/>
    <w:qFormat/>
    <w:rPr>
      <w:sz w:val="16"/>
      <w:szCs w:val="16"/>
    </w:rPr>
  </w:style>
  <w:style w:type="character" w:styleId="StBilgiChar">
    <w:name w:val="Üst Bilgi Char"/>
    <w:qFormat/>
    <w:rPr>
      <w:sz w:val="24"/>
    </w:rPr>
  </w:style>
  <w:style w:type="character" w:styleId="AltBilgiChar">
    <w:name w:val="Alt Bilgi Char"/>
    <w:qFormat/>
    <w:rPr>
      <w:sz w:val="24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Arial" w:hAnsi="Arial" w:cs="Arial" w:eastAsia="Arial"/>
      <w:b/>
      <w:sz w:val="18"/>
      <w:lang w:val="tr-TR"/>
    </w:rPr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ResimYazs">
    <w:name w:val="Resim Yazısı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WWNormalWeb">
    <w:name w:val="WW-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  <w:szCs w:val="24"/>
    </w:rPr>
  </w:style>
  <w:style w:type="paragraph" w:styleId="Western">
    <w:name w:val="western"/>
    <w:basedOn w:val="Normal"/>
    <w:qFormat/>
    <w:pPr>
      <w:widowControl/>
      <w:suppressAutoHyphens w:val="false"/>
      <w:spacing w:before="280" w:after="0"/>
      <w:jc w:val="both"/>
    </w:pPr>
    <w:rPr>
      <w:rFonts w:ascii="Arial" w:hAnsi="Arial" w:cs="Arial"/>
      <w:b/>
      <w:bCs/>
      <w:szCs w:val="24"/>
      <w:lang w:val="tr-TR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NormalWeb">
    <w:name w:val="Normal (Web)"/>
    <w:basedOn w:val="Normal"/>
    <w:qFormat/>
    <w:pPr>
      <w:widowControl/>
      <w:suppressAutoHyphens w:val="false"/>
      <w:spacing w:before="280" w:after="280"/>
    </w:pPr>
    <w:rPr>
      <w:szCs w:val="24"/>
      <w:lang w:val="tr-TR"/>
    </w:rPr>
  </w:style>
  <w:style w:type="paragraph" w:styleId="HTMLncedenBiimlendirilmi">
    <w:name w:val="HTML Önceden Biçimlendirilmiş"/>
    <w:basedOn w:val="Normal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color w:val="000000"/>
      <w:sz w:val="20"/>
      <w:lang w:val="tr-TR"/>
    </w:rPr>
  </w:style>
  <w:style w:type="paragraph" w:styleId="Balk">
    <w:name w:val="Başlık"/>
    <w:basedOn w:val="Normal"/>
    <w:next w:val="TextBody"/>
    <w:qFormat/>
    <w:pPr>
      <w:keepNext w:val="true"/>
      <w:spacing w:before="240" w:after="120"/>
    </w:pPr>
    <w:rPr>
      <w:rFonts w:ascii="Tahoma" w:hAnsi="Tahoma" w:eastAsia="Tahoma" w:cs="Tahoma"/>
      <w:sz w:val="28"/>
      <w:szCs w:val="28"/>
    </w:rPr>
  </w:style>
  <w:style w:type="paragraph" w:styleId="ResimYazs4">
    <w:name w:val="Resim Yazısı4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styleId="Dizin">
    <w:name w:val="Dizin"/>
    <w:basedOn w:val="Normal"/>
    <w:qFormat/>
    <w:pPr>
      <w:suppressLineNumbers/>
    </w:pPr>
    <w:rPr>
      <w:rFonts w:ascii="Arial" w:hAnsi="Arial" w:cs="Arial"/>
    </w:rPr>
  </w:style>
  <w:style w:type="paragraph" w:styleId="ResimYazs3">
    <w:name w:val="Resim Yazısı3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ResimYazs2">
    <w:name w:val="Resim Yazısı2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ResimYazs1">
    <w:name w:val="Resim Yazısı1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0"/>
    </w:rPr>
  </w:style>
  <w:style w:type="paragraph" w:styleId="WWResimYazs">
    <w:name w:val="WW-Resim Yazısı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0"/>
    </w:rPr>
  </w:style>
  <w:style w:type="paragraph" w:styleId="WWDizin">
    <w:name w:val="WW-Dizin"/>
    <w:basedOn w:val="Normal"/>
    <w:qFormat/>
    <w:pPr>
      <w:suppressLineNumbers/>
    </w:pPr>
    <w:rPr>
      <w:rFonts w:ascii="Arial" w:hAnsi="Arial" w:cs="Arial"/>
    </w:rPr>
  </w:style>
  <w:style w:type="paragraph" w:styleId="WWBalk">
    <w:name w:val="WW-Başlık"/>
    <w:basedOn w:val="Normal"/>
    <w:next w:val="TextBody"/>
    <w:qFormat/>
    <w:pPr>
      <w:keepNext w:val="true"/>
      <w:spacing w:before="240" w:after="120"/>
    </w:pPr>
    <w:rPr>
      <w:rFonts w:ascii="Tahoma" w:hAnsi="Tahoma" w:eastAsia="Tahoma" w:cs="Tahoma"/>
      <w:sz w:val="28"/>
      <w:szCs w:val="28"/>
    </w:rPr>
  </w:style>
  <w:style w:type="paragraph" w:styleId="Caption2">
    <w:name w:val="Caption2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WWIndex">
    <w:name w:val="WW-Index"/>
    <w:basedOn w:val="Normal"/>
    <w:qFormat/>
    <w:pPr>
      <w:suppressLineNumbers/>
    </w:pPr>
    <w:rPr>
      <w:rFonts w:cs="Tahoma"/>
    </w:rPr>
  </w:style>
  <w:style w:type="paragraph" w:styleId="WWHeading">
    <w:name w:val="WW-Heading"/>
    <w:basedOn w:val="Normal"/>
    <w:next w:val="TextBody"/>
    <w:qFormat/>
    <w:pPr>
      <w:keepNext w:val="true"/>
      <w:spacing w:before="240" w:after="120"/>
    </w:pPr>
    <w:rPr>
      <w:rFonts w:ascii="Arial" w:hAnsi="Arial" w:eastAsia="MS Mincho;Yu Gothic UI" w:cs="Tahoma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WWIndex1">
    <w:name w:val="WW-Index1"/>
    <w:basedOn w:val="Normal"/>
    <w:qFormat/>
    <w:pPr>
      <w:suppressLineNumbers/>
    </w:pPr>
    <w:rPr>
      <w:rFonts w:cs="Tahoma"/>
    </w:rPr>
  </w:style>
  <w:style w:type="paragraph" w:styleId="WWHeading1">
    <w:name w:val="WW-Heading1"/>
    <w:basedOn w:val="Normal"/>
    <w:next w:val="TextBody"/>
    <w:qFormat/>
    <w:pPr>
      <w:keepNext w:val="true"/>
      <w:spacing w:before="240" w:after="120"/>
    </w:pPr>
    <w:rPr>
      <w:rFonts w:ascii="Arial" w:hAnsi="Arial" w:eastAsia="MS Mincho;Yu Gothic UI" w:cs="Tahoma"/>
      <w:sz w:val="28"/>
      <w:szCs w:val="28"/>
    </w:rPr>
  </w:style>
  <w:style w:type="paragraph" w:styleId="TableContents">
    <w:name w:val="Table Contents"/>
    <w:basedOn w:val="TextBody"/>
    <w:qFormat/>
    <w:pPr>
      <w:suppressLineNumbers/>
    </w:pPr>
    <w:rPr/>
  </w:style>
  <w:style w:type="paragraph" w:styleId="WWTableContents">
    <w:name w:val="WW-Table Contents"/>
    <w:basedOn w:val="TextBody"/>
    <w:qFormat/>
    <w:pPr>
      <w:suppressLineNumbers/>
    </w:pPr>
    <w:rPr/>
  </w:style>
  <w:style w:type="paragraph" w:styleId="WWTableContents1">
    <w:name w:val="WW-Table Contents1"/>
    <w:basedOn w:val="TextBody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Cs/>
      <w:i/>
      <w:iCs/>
    </w:rPr>
  </w:style>
  <w:style w:type="paragraph" w:styleId="WWTableHeading">
    <w:name w:val="WW-Table Heading"/>
    <w:basedOn w:val="WWTableContents"/>
    <w:qFormat/>
    <w:pPr>
      <w:jc w:val="center"/>
    </w:pPr>
    <w:rPr>
      <w:bCs/>
      <w:i/>
      <w:iCs/>
    </w:rPr>
  </w:style>
  <w:style w:type="paragraph" w:styleId="WWTableHeading1">
    <w:name w:val="WW-Table Heading1"/>
    <w:basedOn w:val="WWTableContents1"/>
    <w:qFormat/>
    <w:pPr>
      <w:jc w:val="center"/>
    </w:pPr>
    <w:rPr>
      <w:bCs/>
      <w:i/>
      <w:iCs/>
    </w:rPr>
  </w:style>
  <w:style w:type="paragraph" w:styleId="WWNormalWeb1">
    <w:name w:val="WW-Normal (Web)1"/>
    <w:basedOn w:val="Normal"/>
    <w:qFormat/>
    <w:pPr>
      <w:widowControl/>
      <w:suppressAutoHyphens w:val="false"/>
      <w:spacing w:before="280" w:after="119"/>
    </w:pPr>
    <w:rPr>
      <w:szCs w:val="24"/>
      <w:lang w:val="tr-TR"/>
    </w:rPr>
  </w:style>
  <w:style w:type="paragraph" w:styleId="Tabloierii">
    <w:name w:val="Tablo içeriği"/>
    <w:basedOn w:val="TextBody"/>
    <w:qFormat/>
    <w:pPr>
      <w:suppressLineNumbers/>
    </w:pPr>
    <w:rPr/>
  </w:style>
  <w:style w:type="paragraph" w:styleId="WWTabloierii">
    <w:name w:val="WW-Tablo içeriği"/>
    <w:basedOn w:val="TextBody"/>
    <w:qFormat/>
    <w:pPr>
      <w:suppressLineNumbers/>
    </w:pPr>
    <w:rPr/>
  </w:style>
  <w:style w:type="paragraph" w:styleId="Tablobal">
    <w:name w:val="Tablo başlığı"/>
    <w:basedOn w:val="Tabloierii"/>
    <w:qFormat/>
    <w:pPr>
      <w:jc w:val="center"/>
    </w:pPr>
    <w:rPr>
      <w:bCs/>
      <w:i/>
      <w:iCs/>
    </w:rPr>
  </w:style>
  <w:style w:type="paragraph" w:styleId="WWTablobal">
    <w:name w:val="WW-Tablo başlığı"/>
    <w:basedOn w:val="WWTabloierii"/>
    <w:qFormat/>
    <w:pPr>
      <w:jc w:val="center"/>
    </w:pPr>
    <w:rPr>
      <w:bCs/>
      <w:i/>
      <w:iCs/>
    </w:rPr>
  </w:style>
  <w:style w:type="paragraph" w:styleId="NormalkiYanaYasla">
    <w:name w:val="Normal + İki Yana Yasla"/>
    <w:basedOn w:val="Normal"/>
    <w:qFormat/>
    <w:pPr>
      <w:jc w:val="both"/>
    </w:pPr>
    <w:rPr/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WWGvdeMetni2">
    <w:name w:val="WW-Gövde Metni 2"/>
    <w:basedOn w:val="Normal"/>
    <w:qFormat/>
    <w:pPr>
      <w:widowControl/>
      <w:jc w:val="both"/>
    </w:pPr>
    <w:rPr>
      <w:sz w:val="28"/>
      <w:lang w:val="tr-TR"/>
    </w:rPr>
  </w:style>
  <w:style w:type="paragraph" w:styleId="Tabloerii">
    <w:name w:val="Tablo İçeriği"/>
    <w:basedOn w:val="Normal"/>
    <w:qFormat/>
    <w:pPr>
      <w:suppressLineNumbers/>
    </w:pPr>
    <w:rPr/>
  </w:style>
  <w:style w:type="paragraph" w:styleId="TabloBal1">
    <w:name w:val="Tablo Başlığı"/>
    <w:basedOn w:val="Tabloerii"/>
    <w:qFormat/>
    <w:pPr>
      <w:jc w:val="center"/>
    </w:pPr>
    <w:rPr>
      <w:b/>
      <w:bCs/>
      <w:i/>
      <w:iCs/>
    </w:rPr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WWBodyText2">
    <w:name w:val="WW-Body Text 2"/>
    <w:basedOn w:val="Normal"/>
    <w:qFormat/>
    <w:pPr/>
    <w:rPr>
      <w:color w:val="000000"/>
    </w:rPr>
  </w:style>
  <w:style w:type="paragraph" w:styleId="TextBodyIndent">
    <w:name w:val="Body Text Indent"/>
    <w:basedOn w:val="Normal"/>
    <w:pPr>
      <w:spacing w:before="0" w:after="120"/>
      <w:ind w:left="283" w:right="0" w:hanging="0"/>
    </w:pPr>
    <w:rPr/>
  </w:style>
  <w:style w:type="paragraph" w:styleId="AklamaMetni">
    <w:name w:val="Açıklama Metni"/>
    <w:basedOn w:val="Normal"/>
    <w:qFormat/>
    <w:pPr/>
    <w:rPr>
      <w:sz w:val="20"/>
    </w:rPr>
  </w:style>
  <w:style w:type="paragraph" w:styleId="AklamaKonusu">
    <w:name w:val="Açıklama Konusu"/>
    <w:basedOn w:val="AklamaMetni"/>
    <w:next w:val="AklamaMetni"/>
    <w:qFormat/>
    <w:pPr/>
    <w:rPr>
      <w:b/>
      <w:bCs/>
    </w:rPr>
  </w:style>
  <w:style w:type="paragraph" w:styleId="ListeParagraf">
    <w:name w:val="Liste Paragraf"/>
    <w:basedOn w:val="Normal"/>
    <w:qFormat/>
    <w:pPr>
      <w:widowControl/>
      <w:suppressAutoHyphens w:val="false"/>
      <w:spacing w:lineRule="auto" w:line="276" w:before="0" w:after="200"/>
      <w:ind w:left="720" w:hanging="0"/>
      <w:contextualSpacing/>
    </w:pPr>
    <w:rPr>
      <w:rFonts w:ascii="Calibri" w:hAnsi="Calibri" w:eastAsia="Calibri" w:cs="Calibri"/>
      <w:sz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ubitak.gov.tr/tr/duyuru/bibliyografik-verilerin-duzenlenmesi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2013-02-15T18:09:00Z</dcterms:created>
  <dc:creator>ziya.cetiner</dc:creator>
  <dc:description/>
  <cp:keywords/>
  <dc:language>en-US</dc:language>
  <cp:lastModifiedBy>Kübra GÜRBÜZ</cp:lastModifiedBy>
  <cp:lastPrinted>2013-06-04T15:23:00Z</cp:lastPrinted>
  <dcterms:modified xsi:type="dcterms:W3CDTF">2026-01-16T16:11:00Z</dcterms:modified>
  <cp:revision>97</cp:revision>
  <dc:subject/>
  <dc:title>TÜBİTAK</dc:title>
</cp:coreProperties>
</file>