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REST API'sini &lt;200 ms (p95) yanıt süresi ve saniyede ≥100 istek işleme kapasitesiyle devreye almak.</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 modellerden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ve çıkarım katmanına göre tabakalı rastgele örnekleme ile yürütülecektir. Denetimde hedefin üzerinde hata örüntüsü görülürse ilgili sınıf için otomatik kabul eşiği yükseltilecek ve etkilenen kayıtlar L5 uzman doğrulamasına yönlendirilecektir.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4"/>
              </w:rPr>
              <w:t>1</w:t>
            </w:r>
          </w:p>
        </w:tc>
        <w:tc>
          <w:tcPr>
            <w:tcW w:type="dxa" w:w="2377"/>
            <w:vAlign w:val="top"/>
          </w:tcPr>
          <w:p>
            <w:pPr>
              <w:spacing w:after="40" w:line="240" w:lineRule="auto"/>
            </w:pPr>
          </w:p>
          <w:p>
            <w:pPr>
              <w:spacing w:after="40" w:before="0" w:line="240" w:lineRule="auto"/>
            </w:pPr>
            <w:r>
              <w:rPr>
                <w:rFonts w:ascii="Arial" w:hAnsi="Arial" w:eastAsia="Arial"/>
                <w:b/>
                <w:sz w:val="14"/>
              </w:rPr>
              <w:t>Akıllı Literatür Tarama ve L2 Sınıflandırma Hattı:</w:t>
            </w:r>
            <w:r>
              <w:rPr>
                <w:rFonts w:ascii="Arial" w:hAnsi="Arial" w:eastAsia="Arial"/>
                <w:sz w:val="14"/>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1-4. Aylar</w:t>
            </w:r>
          </w:p>
        </w:tc>
        <w:tc>
          <w:tcPr>
            <w:tcW w:type="dxa" w:w="6525"/>
            <w:vAlign w:val="top"/>
          </w:tcPr>
          <w:p>
            <w:pPr>
              <w:spacing w:after="40" w:line="240" w:lineRule="auto"/>
            </w:pPr>
          </w:p>
          <w:p>
            <w:pPr>
              <w:spacing w:after="40" w:before="0" w:line="240" w:lineRule="auto"/>
            </w:pPr>
            <w:r>
              <w:rPr>
                <w:rFonts w:ascii="Arial" w:hAnsi="Arial" w:eastAsia="Arial"/>
                <w:sz w:val="14"/>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4"/>
              </w:rPr>
              <w:t>2</w:t>
            </w:r>
          </w:p>
        </w:tc>
        <w:tc>
          <w:tcPr>
            <w:tcW w:type="dxa" w:w="2377"/>
            <w:vAlign w:val="top"/>
          </w:tcPr>
          <w:p>
            <w:pPr>
              <w:spacing w:after="40" w:line="240" w:lineRule="auto"/>
            </w:pPr>
          </w:p>
          <w:p>
            <w:pPr>
              <w:spacing w:after="40" w:before="0" w:line="240" w:lineRule="auto"/>
            </w:pPr>
            <w:r>
              <w:rPr>
                <w:rFonts w:ascii="Arial" w:hAnsi="Arial" w:eastAsia="Arial"/>
                <w:b/>
                <w:sz w:val="14"/>
              </w:rPr>
              <w:t>Çekirdek Çıkarma Motoru (L3):</w:t>
            </w:r>
            <w:r>
              <w:rPr>
                <w:rFonts w:ascii="Arial" w:hAnsi="Arial" w:eastAsia="Arial"/>
                <w:sz w:val="14"/>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3-8. Aylar</w:t>
            </w:r>
          </w:p>
        </w:tc>
        <w:tc>
          <w:tcPr>
            <w:tcW w:type="dxa" w:w="6525"/>
            <w:vAlign w:val="top"/>
          </w:tcPr>
          <w:p>
            <w:pPr>
              <w:spacing w:after="40" w:line="240" w:lineRule="auto"/>
            </w:pPr>
          </w:p>
          <w:p>
            <w:pPr>
              <w:spacing w:after="40" w:before="0" w:line="240" w:lineRule="auto"/>
            </w:pPr>
            <w:r>
              <w:rPr>
                <w:rFonts w:ascii="Arial" w:hAnsi="Arial" w:eastAsia="Arial"/>
                <w:sz w:val="14"/>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4"/>
              </w:rPr>
              <w:t>3</w:t>
            </w:r>
          </w:p>
        </w:tc>
        <w:tc>
          <w:tcPr>
            <w:tcW w:type="dxa" w:w="2377"/>
            <w:vAlign w:val="top"/>
          </w:tcPr>
          <w:p>
            <w:pPr>
              <w:spacing w:after="40" w:line="240" w:lineRule="auto"/>
            </w:pPr>
          </w:p>
          <w:p>
            <w:pPr>
              <w:spacing w:after="40" w:before="0" w:line="240" w:lineRule="auto"/>
            </w:pPr>
            <w:r>
              <w:rPr>
                <w:rFonts w:ascii="Arial" w:hAnsi="Arial" w:eastAsia="Arial"/>
                <w:b/>
                <w:sz w:val="14"/>
              </w:rPr>
              <w:t>Kademeli Entegrasyon ve Yönlendirici:</w:t>
            </w:r>
            <w:r>
              <w:rPr>
                <w:rFonts w:ascii="Arial" w:hAnsi="Arial" w:eastAsia="Arial"/>
                <w:sz w:val="14"/>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5-10. Aylar</w:t>
            </w:r>
          </w:p>
        </w:tc>
        <w:tc>
          <w:tcPr>
            <w:tcW w:type="dxa" w:w="6525"/>
            <w:vAlign w:val="top"/>
          </w:tcPr>
          <w:p>
            <w:pPr>
              <w:spacing w:after="40" w:line="240" w:lineRule="auto"/>
            </w:pPr>
          </w:p>
          <w:p>
            <w:pPr>
              <w:spacing w:after="40" w:before="0" w:line="240" w:lineRule="auto"/>
            </w:pPr>
            <w:r>
              <w:rPr>
                <w:rFonts w:ascii="Arial" w:hAnsi="Arial" w:eastAsia="Arial"/>
                <w:sz w:val="14"/>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4"/>
              </w:rPr>
              <w:t>4</w:t>
            </w:r>
          </w:p>
        </w:tc>
        <w:tc>
          <w:tcPr>
            <w:tcW w:type="dxa" w:w="2377"/>
            <w:vAlign w:val="top"/>
          </w:tcPr>
          <w:p>
            <w:pPr>
              <w:spacing w:after="40" w:line="240" w:lineRule="auto"/>
            </w:pPr>
          </w:p>
          <w:p>
            <w:pPr>
              <w:spacing w:after="40" w:before="0" w:line="240" w:lineRule="auto"/>
            </w:pPr>
            <w:r>
              <w:rPr>
                <w:rFonts w:ascii="Arial" w:hAnsi="Arial" w:eastAsia="Arial"/>
                <w:b/>
                <w:sz w:val="14"/>
              </w:rPr>
              <w:t>Uzman Doğrulama ve Katmanlar Arası Öğrenme:</w:t>
            </w:r>
            <w:r>
              <w:rPr>
                <w:rFonts w:ascii="Arial" w:hAnsi="Arial" w:eastAsia="Arial"/>
                <w:sz w:val="14"/>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4-16. Aylar</w:t>
            </w:r>
          </w:p>
        </w:tc>
        <w:tc>
          <w:tcPr>
            <w:tcW w:type="dxa" w:w="6525"/>
            <w:vAlign w:val="top"/>
          </w:tcPr>
          <w:p>
            <w:pPr>
              <w:spacing w:after="40" w:line="240" w:lineRule="auto"/>
            </w:pPr>
          </w:p>
          <w:p>
            <w:pPr>
              <w:spacing w:after="40" w:before="0" w:line="240" w:lineRule="auto"/>
            </w:pPr>
            <w:r>
              <w:rPr>
                <w:rFonts w:ascii="Arial" w:hAnsi="Arial" w:eastAsia="Arial"/>
                <w:sz w:val="14"/>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4"/>
              </w:rPr>
              <w:t>5</w:t>
            </w:r>
          </w:p>
        </w:tc>
        <w:tc>
          <w:tcPr>
            <w:tcW w:type="dxa" w:w="2377"/>
            <w:vAlign w:val="top"/>
          </w:tcPr>
          <w:p>
            <w:pPr>
              <w:spacing w:after="40" w:line="240" w:lineRule="auto"/>
            </w:pPr>
          </w:p>
          <w:p>
            <w:pPr>
              <w:spacing w:after="40" w:before="0" w:line="240" w:lineRule="auto"/>
            </w:pPr>
            <w:r>
              <w:rPr>
                <w:rFonts w:ascii="Arial" w:hAnsi="Arial" w:eastAsia="Arial"/>
                <w:b/>
                <w:sz w:val="14"/>
              </w:rPr>
              <w:t>Üretim API'si, Kıyaslama Doğrulaması ve Açık Araştırma Çıktıları:</w:t>
            </w:r>
            <w:r>
              <w:rPr>
                <w:rFonts w:ascii="Arial" w:hAnsi="Arial" w:eastAsia="Arial"/>
                <w:sz w:val="14"/>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14-18. Aylar</w:t>
            </w:r>
          </w:p>
        </w:tc>
        <w:tc>
          <w:tcPr>
            <w:tcW w:type="dxa" w:w="6525"/>
            <w:vAlign w:val="top"/>
          </w:tcPr>
          <w:p>
            <w:pPr>
              <w:spacing w:after="40" w:line="240" w:lineRule="auto"/>
            </w:pPr>
          </w:p>
          <w:p>
            <w:pPr>
              <w:spacing w:after="40" w:before="0" w:line="240" w:lineRule="auto"/>
            </w:pPr>
            <w:r>
              <w:rPr>
                <w:rFonts w:ascii="Arial" w:hAnsi="Arial" w:eastAsia="Arial"/>
                <w:sz w:val="14"/>
              </w:rPr>
              <w:t>≥500.000 gıda-besin kaydı; API yayında (&lt;200 ms p95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4"/>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4"/>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4"/>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4"/>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4"/>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4"/>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4"/>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4"/>
              </w:rPr>
              <w:t>WP4</w:t>
            </w:r>
          </w:p>
        </w:tc>
        <w:tc>
          <w:tcPr>
            <w:tcW w:type="dxa" w:w="4178"/>
            <w:vAlign w:val="top"/>
          </w:tcPr>
          <w:p>
            <w:pPr>
              <w:spacing w:after="40" w:line="240" w:lineRule="auto"/>
            </w:pPr>
          </w:p>
          <w:p>
            <w:pPr>
              <w:spacing w:after="40" w:before="0" w:line="240" w:lineRule="auto"/>
            </w:pPr>
            <w:r>
              <w:rPr>
                <w:rFonts w:ascii="Arial" w:hAnsi="Arial" w:eastAsia="Arial"/>
                <w:sz w:val="14"/>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4"/>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4"/>
              </w:rPr>
              <w:t>WP3/WP4</w:t>
            </w:r>
          </w:p>
        </w:tc>
        <w:tc>
          <w:tcPr>
            <w:tcW w:type="dxa" w:w="4178"/>
            <w:vAlign w:val="top"/>
          </w:tcPr>
          <w:p>
            <w:pPr>
              <w:spacing w:after="40" w:line="240" w:lineRule="auto"/>
            </w:pPr>
          </w:p>
          <w:p>
            <w:pPr>
              <w:spacing w:after="40" w:before="0" w:line="240" w:lineRule="auto"/>
            </w:pPr>
            <w:r>
              <w:rPr>
                <w:rFonts w:ascii="Arial" w:hAnsi="Arial" w:eastAsia="Arial"/>
                <w:sz w:val="14"/>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4"/>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4"/>
              </w:rPr>
              <w:t>WP5</w:t>
            </w:r>
          </w:p>
        </w:tc>
        <w:tc>
          <w:tcPr>
            <w:tcW w:type="dxa" w:w="4178"/>
            <w:vAlign w:val="top"/>
          </w:tcPr>
          <w:p>
            <w:pPr>
              <w:spacing w:after="40" w:line="240" w:lineRule="auto"/>
            </w:pPr>
          </w:p>
          <w:p>
            <w:pPr>
              <w:spacing w:after="40" w:before="0" w:line="240" w:lineRule="auto"/>
            </w:pPr>
            <w:r>
              <w:rPr>
                <w:rFonts w:ascii="Arial" w:hAnsi="Arial" w:eastAsia="Arial"/>
                <w:sz w:val="14"/>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4"/>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4"/>
              </w:rPr>
              <w:t>Genel (Yasal)</w:t>
            </w:r>
          </w:p>
        </w:tc>
        <w:tc>
          <w:tcPr>
            <w:tcW w:type="dxa" w:w="4178"/>
            <w:vAlign w:val="top"/>
          </w:tcPr>
          <w:p>
            <w:pPr>
              <w:spacing w:after="40" w:line="240" w:lineRule="auto"/>
            </w:pPr>
          </w:p>
          <w:p>
            <w:pPr>
              <w:spacing w:after="40" w:before="0" w:line="240" w:lineRule="auto"/>
            </w:pPr>
            <w:r>
              <w:rPr>
                <w:rFonts w:ascii="Arial" w:hAnsi="Arial" w:eastAsia="Arial"/>
                <w:sz w:val="14"/>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4"/>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4"/>
              </w:rPr>
              <w:t>Yönetim</w:t>
            </w:r>
          </w:p>
        </w:tc>
        <w:tc>
          <w:tcPr>
            <w:tcW w:type="dxa" w:w="4178"/>
            <w:vAlign w:val="top"/>
          </w:tcPr>
          <w:p>
            <w:pPr>
              <w:spacing w:after="40" w:line="240" w:lineRule="auto"/>
            </w:pPr>
          </w:p>
          <w:p>
            <w:pPr>
              <w:spacing w:after="40" w:before="0" w:line="240" w:lineRule="auto"/>
            </w:pPr>
            <w:r>
              <w:rPr>
                <w:rFonts w:ascii="Arial" w:hAnsi="Arial" w:eastAsia="Arial"/>
                <w:sz w:val="14"/>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4"/>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4"/>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4"/>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4"/>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4"/>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4"/>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4"/>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4"/>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4"/>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4"/>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4"/>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Sürdürülebilirlik</w:t>
            </w:r>
          </w:p>
        </w:tc>
        <w:tc>
          <w:tcPr>
            <w:tcW w:type="dxa" w:w="3544"/>
            <w:vAlign w:val="top"/>
          </w:tcPr>
          <w:p>
            <w:pPr>
              <w:spacing w:after="40" w:line="240" w:lineRule="auto"/>
            </w:pPr>
          </w:p>
          <w:p>
            <w:pPr>
              <w:spacing w:after="40" w:before="0" w:line="240" w:lineRule="auto"/>
            </w:pPr>
            <w:r>
              <w:rPr>
                <w:rFonts w:ascii="Arial" w:hAnsi="Arial" w:eastAsia="Arial"/>
                <w:sz w:val="14"/>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4"/>
              </w:rPr>
              <w:t>18-42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4"/>
              </w:rPr>
              <w:t>12-24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4"/>
              </w:rPr>
              <w:t>0-18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4"/>
              </w:rPr>
              <w:t>24-48 ay</w:t>
            </w:r>
          </w:p>
        </w:tc>
      </w:tr>
      <w:tr>
        <w:tc>
          <w:tcPr>
            <w:tcW w:type="dxa" w:w="3686"/>
            <w:vAlign w:val="top"/>
          </w:tcPr>
          <w:p>
            <w:pPr>
              <w:spacing w:after="40" w:line="240" w:lineRule="auto"/>
            </w:pPr>
          </w:p>
          <w:p>
            <w:pPr>
              <w:spacing w:after="40" w:before="0" w:line="240" w:lineRule="auto"/>
            </w:pPr>
            <w:r>
              <w:rPr>
                <w:rFonts w:ascii="Arial" w:hAnsi="Arial" w:eastAsia="Arial"/>
                <w:sz w:val="14"/>
              </w:rPr>
              <w:t>İstihdam</w:t>
            </w:r>
          </w:p>
        </w:tc>
        <w:tc>
          <w:tcPr>
            <w:tcW w:type="dxa" w:w="3544"/>
            <w:vAlign w:val="top"/>
          </w:tcPr>
          <w:p>
            <w:pPr>
              <w:spacing w:after="40" w:line="240" w:lineRule="auto"/>
            </w:pPr>
          </w:p>
          <w:p>
            <w:pPr>
              <w:spacing w:after="40" w:before="0" w:line="240" w:lineRule="auto"/>
            </w:pPr>
            <w:r>
              <w:rPr>
                <w:rFonts w:ascii="Arial" w:hAnsi="Arial" w:eastAsia="Arial"/>
                <w:sz w:val="14"/>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Rekabetçilik</w:t>
            </w:r>
          </w:p>
        </w:tc>
        <w:tc>
          <w:tcPr>
            <w:tcW w:type="dxa" w:w="3544"/>
            <w:vAlign w:val="top"/>
          </w:tcPr>
          <w:p>
            <w:pPr>
              <w:spacing w:after="40" w:line="240" w:lineRule="auto"/>
            </w:pPr>
          </w:p>
          <w:p>
            <w:pPr>
              <w:spacing w:after="40" w:before="0" w:line="240" w:lineRule="auto"/>
            </w:pPr>
            <w:r>
              <w:rPr>
                <w:rFonts w:ascii="Arial" w:hAnsi="Arial" w:eastAsia="Arial"/>
                <w:sz w:val="14"/>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4"/>
              </w:rPr>
              <w:t>18-48 ay</w:t>
            </w:r>
          </w:p>
        </w:tc>
      </w:tr>
      <w:tr>
        <w:tc>
          <w:tcPr>
            <w:tcW w:type="dxa" w:w="3686"/>
            <w:vAlign w:val="top"/>
          </w:tcPr>
          <w:p>
            <w:pPr>
              <w:spacing w:after="40" w:line="240" w:lineRule="auto"/>
            </w:pPr>
          </w:p>
          <w:p>
            <w:pPr>
              <w:spacing w:after="40" w:before="0" w:line="240" w:lineRule="auto"/>
            </w:pPr>
            <w:r>
              <w:rPr>
                <w:rFonts w:ascii="Arial" w:hAnsi="Arial" w:eastAsia="Arial"/>
                <w:sz w:val="14"/>
              </w:rPr>
              <w:t>Ulusal Güvenlik</w:t>
            </w:r>
          </w:p>
        </w:tc>
        <w:tc>
          <w:tcPr>
            <w:tcW w:type="dxa" w:w="3544"/>
            <w:vAlign w:val="top"/>
          </w:tcPr>
          <w:p>
            <w:pPr>
              <w:spacing w:after="40" w:line="240" w:lineRule="auto"/>
            </w:pPr>
          </w:p>
          <w:p>
            <w:pPr>
              <w:spacing w:after="40" w:before="0" w:line="240" w:lineRule="auto"/>
            </w:pPr>
            <w:r>
              <w:rPr>
                <w:rFonts w:ascii="Arial" w:hAnsi="Arial" w:eastAsia="Arial"/>
                <w:sz w:val="14"/>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r>
        <w:tc>
          <w:tcPr>
            <w:tcW w:type="dxa" w:w="3686"/>
            <w:vAlign w:val="top"/>
          </w:tcPr>
          <w:p>
            <w:pPr>
              <w:spacing w:after="40" w:line="240" w:lineRule="auto"/>
            </w:pPr>
          </w:p>
          <w:p>
            <w:pPr>
              <w:spacing w:after="40" w:before="0" w:line="240" w:lineRule="auto"/>
            </w:pPr>
            <w:r>
              <w:rPr>
                <w:rFonts w:ascii="Arial" w:hAnsi="Arial" w:eastAsia="Arial"/>
                <w:sz w:val="14"/>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4"/>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4"/>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4"/>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 </w:t>
            </w:r>
            <w:r>
              <w:rPr>
                <w:rFonts w:ascii="Arial" w:hAnsi="Arial" w:eastAsia="Arial"/>
                <w:sz w:val="14"/>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4"/>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4"/>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6. </w:t>
            </w:r>
            <w:r>
              <w:rPr>
                <w:rFonts w:ascii="Arial" w:hAnsi="Arial" w:eastAsia="Arial"/>
                <w:sz w:val="14"/>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4"/>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4"/>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4"/>
              </w:rPr>
              <w:t>12-18. aylar</w:t>
            </w:r>
          </w:p>
        </w:tc>
      </w:tr>
      <w:tr>
        <w:tc>
          <w:tcPr>
            <w:tcW w:type="dxa" w:w="3472"/>
            <w:vAlign w:val="top"/>
          </w:tcPr>
          <w:p>
            <w:pPr>
              <w:spacing w:after="40" w:line="240" w:lineRule="auto"/>
            </w:pPr>
          </w:p>
          <w:p>
            <w:pPr>
              <w:spacing w:after="40" w:before="0" w:line="240" w:lineRule="auto"/>
            </w:pPr>
            <w:r>
              <w:rPr>
                <w:rFonts w:ascii="Arial" w:hAnsi="Arial" w:eastAsia="Arial"/>
                <w:sz w:val="14"/>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4"/>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4"/>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4"/>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14.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4"/>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16.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4"/>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4"/>
              </w:rPr>
              <w:t>15-18. aylar</w:t>
            </w:r>
          </w:p>
        </w:tc>
      </w:tr>
      <w:tr>
        <w:tc>
          <w:tcPr>
            <w:tcW w:type="dxa" w:w="3472"/>
            <w:vAlign w:val="top"/>
          </w:tcPr>
          <w:p>
            <w:pPr>
              <w:spacing w:after="40" w:line="240" w:lineRule="auto"/>
            </w:pPr>
          </w:p>
          <w:p>
            <w:pPr>
              <w:spacing w:after="40" w:before="0" w:line="240" w:lineRule="auto"/>
            </w:pPr>
            <w:r>
              <w:rPr>
                <w:rFonts w:ascii="Arial" w:hAnsi="Arial" w:eastAsia="Arial"/>
                <w:sz w:val="14"/>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4"/>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4"/>
              </w:rPr>
              <w:t>14-18. aylar</w:t>
            </w:r>
          </w:p>
        </w:tc>
      </w:tr>
      <w:tr>
        <w:tc>
          <w:tcPr>
            <w:tcW w:type="dxa" w:w="3472"/>
            <w:vAlign w:val="top"/>
          </w:tcPr>
          <w:p>
            <w:pPr>
              <w:spacing w:after="40" w:line="240" w:lineRule="auto"/>
            </w:pPr>
          </w:p>
          <w:p>
            <w:pPr>
              <w:spacing w:after="40" w:before="0" w:line="240" w:lineRule="auto"/>
            </w:pPr>
            <w:r>
              <w:rPr>
                <w:rFonts w:ascii="Arial" w:hAnsi="Arial" w:eastAsia="Arial"/>
                <w:sz w:val="14"/>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4"/>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18. </w:t>
            </w:r>
            <w:r>
              <w:rPr>
                <w:rFonts w:ascii="Arial" w:hAnsi="Arial" w:eastAsia="Arial"/>
                <w:sz w:val="14"/>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