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fiyatlanan ticari API abonelikleri ve toplu veri/lisans anlaşmaları. Gösterge niteliğinde, yıllık tekrarlayan işletme maliyetinin karşılanması yalnızca birkaç orta ölçekli kurumsal abonelik gerektirir; bu nedenle başabaş düşük bir müşteri sayısında ulaşılabilir görünmektedir. Personel, satış, destek ve donanım amortismanı ticari fiyatlandırmada ayrıca dikkate alınacak;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Sınırlı ticari API yalnızca L4 yükseltmesi, yerel iş istasyonu ise geliştirme ve yedek yürütme için kullanılır.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 (öngörü: proje sonrası 2 yıl içinde birden çok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 (Üniversite-Sanayi İşbirliği)</w:t>
            </w:r>
          </w:p>
        </w:tc>
        <w:tc>
          <w:tcPr>
            <w:tcW w:type="dxa" w:w="3544"/>
            <w:vAlign w:val="top"/>
          </w:tcPr>
          <w:p>
            <w:pPr>
              <w:spacing w:after="40" w:line="240" w:lineRule="auto"/>
            </w:pPr>
          </w:p>
          <w:p>
            <w:pPr>
              <w:spacing w:after="40" w:before="0" w:line="240" w:lineRule="auto"/>
            </w:pPr>
            <w:r>
              <w:rPr>
                <w:rFonts w:ascii="Arial" w:hAnsi="Arial" w:eastAsia="Arial"/>
                <w:sz w:val="18"/>
              </w:rPr>
              <w:t>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 (potansiyel sektörel uygulama alanları).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