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opennutri-labeler-quick-guide"/>
      <w:r>
        <w:t xml:space="preserve">OpenNutri Labeler Quick Guide</w:t>
      </w:r>
      <w:bookmarkEnd w:id="20"/>
    </w:p>
    <w:p>
      <w:pPr>
        <w:pStyle w:val="FirstParagraph"/>
      </w:pPr>
      <w:r>
        <w:t xml:space="preserve">Use this guide while reviewing papers in the OpenNutri annotator.</w:t>
      </w:r>
    </w:p>
    <w:p>
      <w:pPr>
        <w:pStyle w:val="BodyText"/>
      </w:pPr>
      <w:r>
        <w:t xml:space="preserve">Your job is simple: read the paper, find real food composition data, and enter only the values that the paper clearly reports.</w:t>
      </w:r>
    </w:p>
    <w:p>
      <w:pPr>
        <w:pStyle w:val="Heading2"/>
      </w:pPr>
      <w:bookmarkStart w:id="21" w:name="the-standard"/>
      <w:r>
        <w:t xml:space="preserve">The Standard</w:t>
      </w:r>
      <w:bookmarkEnd w:id="21"/>
    </w:p>
    <w:p>
      <w:pPr>
        <w:numPr>
          <w:ilvl w:val="0"/>
          <w:numId w:val="1001"/>
        </w:numPr>
        <w:pStyle w:val="Compact"/>
      </w:pPr>
      <w:r>
        <w:t xml:space="preserve">Extract exact food names, nutrients, values, and units from the paper.</w:t>
      </w:r>
    </w:p>
    <w:p>
      <w:pPr>
        <w:numPr>
          <w:ilvl w:val="0"/>
          <w:numId w:val="1001"/>
        </w:numPr>
        <w:pStyle w:val="Compact"/>
      </w:pPr>
      <w:r>
        <w:t xml:space="preserve">Do not guess missing values.</w:t>
      </w:r>
    </w:p>
    <w:p>
      <w:pPr>
        <w:numPr>
          <w:ilvl w:val="0"/>
          <w:numId w:val="1001"/>
        </w:numPr>
        <w:pStyle w:val="Compact"/>
      </w:pPr>
      <w:r>
        <w:t xml:space="preserve">Do not calculate or convert values unless Arciel has explicitly told you to.</w:t>
      </w:r>
    </w:p>
    <w:p>
      <w:pPr>
        <w:numPr>
          <w:ilvl w:val="0"/>
          <w:numId w:val="1001"/>
        </w:numPr>
        <w:pStyle w:val="Compact"/>
      </w:pPr>
      <w:r>
        <w:t xml:space="preserve">Do not use outside sources to add data.</w:t>
      </w:r>
    </w:p>
    <w:p>
      <w:pPr>
        <w:numPr>
          <w:ilvl w:val="0"/>
          <w:numId w:val="1001"/>
        </w:numPr>
        <w:pStyle w:val="Compact"/>
      </w:pPr>
      <w:r>
        <w:t xml:space="preserve">If the table is unclear, ask instead of improvising.</w:t>
      </w:r>
    </w:p>
    <w:p>
      <w:pPr>
        <w:pStyle w:val="FirstParagraph"/>
      </w:pPr>
      <w:r>
        <w:t xml:space="preserve">Two reviewers may label the same paper. Small differences matter, so be strict and literal.</w:t>
      </w:r>
    </w:p>
    <w:p>
      <w:pPr>
        <w:pStyle w:val="Heading2"/>
      </w:pPr>
      <w:bookmarkStart w:id="22" w:name="basic-workflow"/>
      <w:r>
        <w:t xml:space="preserve">Basic Workflow</w:t>
      </w:r>
      <w:bookmarkEnd w:id="22"/>
    </w:p>
    <w:p>
      <w:pPr>
        <w:numPr>
          <w:ilvl w:val="0"/>
          <w:numId w:val="1002"/>
        </w:numPr>
        <w:pStyle w:val="Compact"/>
      </w:pPr>
      <w:r>
        <w:t xml:space="preserve">Open a paper from</w:t>
      </w:r>
      <w:r>
        <w:t xml:space="preserve"> </w:t>
      </w:r>
      <w:r>
        <w:rPr>
          <w:rStyle w:val="VerbatimChar"/>
        </w:rPr>
        <w:t xml:space="preserve">My Queue</w:t>
      </w:r>
      <w:r>
        <w:t xml:space="preserve">.</w:t>
      </w:r>
    </w:p>
    <w:p>
      <w:pPr>
        <w:numPr>
          <w:ilvl w:val="0"/>
          <w:numId w:val="1002"/>
        </w:numPr>
        <w:pStyle w:val="Compact"/>
      </w:pPr>
      <w:r>
        <w:t xml:space="preserve">Read the title, abstract if needed, and the PDF tables.</w:t>
      </w:r>
    </w:p>
    <w:p>
      <w:pPr>
        <w:numPr>
          <w:ilvl w:val="0"/>
          <w:numId w:val="1002"/>
        </w:numPr>
        <w:pStyle w:val="Compact"/>
      </w:pPr>
      <w:r>
        <w:t xml:space="preserve">Decide whether the paper has usable food composition data.</w:t>
      </w:r>
    </w:p>
    <w:p>
      <w:pPr>
        <w:numPr>
          <w:ilvl w:val="0"/>
          <w:numId w:val="1002"/>
        </w:numPr>
        <w:pStyle w:val="Compact"/>
      </w:pPr>
      <w:r>
        <w:t xml:space="preserve">If it does, enter the food items and nutrient rows.</w:t>
      </w:r>
    </w:p>
    <w:p>
      <w:pPr>
        <w:numPr>
          <w:ilvl w:val="0"/>
          <w:numId w:val="1002"/>
        </w:numPr>
        <w:pStyle w:val="Compact"/>
      </w:pPr>
      <w:r>
        <w:t xml:space="preserve">Use</w:t>
      </w:r>
      <w:r>
        <w:t xml:space="preserve"> </w:t>
      </w:r>
      <w:r>
        <w:rPr>
          <w:rStyle w:val="VerbatimChar"/>
        </w:rPr>
        <w:t xml:space="preserve">Save Draft</w:t>
      </w:r>
      <w:r>
        <w:t xml:space="preserve"> </w:t>
      </w:r>
      <w:r>
        <w:t xml:space="preserve">if you are not finished.</w:t>
      </w:r>
    </w:p>
    <w:p>
      <w:pPr>
        <w:numPr>
          <w:ilvl w:val="0"/>
          <w:numId w:val="1002"/>
        </w:numPr>
        <w:pStyle w:val="Compact"/>
      </w:pPr>
      <w:r>
        <w:t xml:space="preserve">Use</w:t>
      </w:r>
      <w:r>
        <w:t xml:space="preserve"> </w:t>
      </w:r>
      <w:r>
        <w:rPr>
          <w:rStyle w:val="VerbatimChar"/>
        </w:rPr>
        <w:t xml:space="preserve">Submit Final Extraction</w:t>
      </w:r>
      <w:r>
        <w:t xml:space="preserve"> </w:t>
      </w:r>
      <w:r>
        <w:t xml:space="preserve">only when the extraction is complete.</w:t>
      </w:r>
    </w:p>
    <w:p>
      <w:pPr>
        <w:numPr>
          <w:ilvl w:val="0"/>
          <w:numId w:val="1002"/>
        </w:numPr>
        <w:pStyle w:val="Compact"/>
      </w:pPr>
      <w:r>
        <w:t xml:space="preserve">Use</w:t>
      </w:r>
      <w:r>
        <w:t xml:space="preserve"> </w:t>
      </w:r>
      <w:r>
        <w:rPr>
          <w:rStyle w:val="VerbatimChar"/>
        </w:rPr>
        <w:t xml:space="preserve">No Usable Data</w:t>
      </w:r>
      <w:r>
        <w:t xml:space="preserve"> </w:t>
      </w:r>
      <w:r>
        <w:t xml:space="preserve">only when the paper has no usable rows.</w:t>
      </w:r>
    </w:p>
    <w:p>
      <w:pPr>
        <w:numPr>
          <w:ilvl w:val="0"/>
          <w:numId w:val="1002"/>
        </w:numPr>
        <w:pStyle w:val="Compact"/>
      </w:pPr>
      <w:r>
        <w:t xml:space="preserve">Use</w:t>
      </w:r>
      <w:r>
        <w:t xml:space="preserve"> </w:t>
      </w:r>
      <w:r>
        <w:rPr>
          <w:rStyle w:val="VerbatimChar"/>
        </w:rPr>
        <w:t xml:space="preserve">Definitely No Data</w:t>
      </w:r>
      <w:r>
        <w:t xml:space="preserve"> </w:t>
      </w:r>
      <w:r>
        <w:t xml:space="preserve">only when the whole paper is clearly impossible to label.</w:t>
      </w:r>
    </w:p>
    <w:p>
      <w:pPr>
        <w:pStyle w:val="Heading2"/>
      </w:pPr>
      <w:bookmarkStart w:id="23" w:name="what-counts-as-usable-data"/>
      <w:r>
        <w:t xml:space="preserve">What Counts as Usable Data</w:t>
      </w:r>
      <w:bookmarkEnd w:id="23"/>
    </w:p>
    <w:p>
      <w:pPr>
        <w:pStyle w:val="FirstParagraph"/>
      </w:pPr>
      <w:r>
        <w:t xml:space="preserve">A row is usable when all of these are true:</w:t>
      </w:r>
    </w:p>
    <w:p>
      <w:pPr>
        <w:numPr>
          <w:ilvl w:val="0"/>
          <w:numId w:val="1003"/>
        </w:numPr>
        <w:pStyle w:val="Compact"/>
      </w:pPr>
      <w:r>
        <w:t xml:space="preserve">It is about a real food or food product.</w:t>
      </w:r>
    </w:p>
    <w:p>
      <w:pPr>
        <w:numPr>
          <w:ilvl w:val="0"/>
          <w:numId w:val="1003"/>
        </w:numPr>
        <w:pStyle w:val="Compact"/>
      </w:pPr>
      <w:r>
        <w:t xml:space="preserve">It reports a real food composition value.</w:t>
      </w:r>
    </w:p>
    <w:p>
      <w:pPr>
        <w:numPr>
          <w:ilvl w:val="0"/>
          <w:numId w:val="1003"/>
        </w:numPr>
        <w:pStyle w:val="Compact"/>
      </w:pPr>
      <w:r>
        <w:t xml:space="preserve">The food and nutrient are clearly connected.</w:t>
      </w:r>
    </w:p>
    <w:p>
      <w:pPr>
        <w:numPr>
          <w:ilvl w:val="0"/>
          <w:numId w:val="1003"/>
        </w:numPr>
        <w:pStyle w:val="Compact"/>
      </w:pPr>
      <w:r>
        <w:t xml:space="preserve">The value is numeric.</w:t>
      </w:r>
    </w:p>
    <w:p>
      <w:pPr>
        <w:numPr>
          <w:ilvl w:val="0"/>
          <w:numId w:val="1003"/>
        </w:numPr>
        <w:pStyle w:val="Compact"/>
      </w:pPr>
      <w:r>
        <w:t xml:space="preserve">The unit and basis fit the allowed options below.</w:t>
      </w:r>
    </w:p>
    <w:p>
      <w:pPr>
        <w:pStyle w:val="FirstParagraph"/>
      </w:pPr>
      <w:r>
        <w:t xml:space="preserve">Common usable nutrients include:</w:t>
      </w:r>
    </w:p>
    <w:p>
      <w:pPr>
        <w:numPr>
          <w:ilvl w:val="0"/>
          <w:numId w:val="1004"/>
        </w:numPr>
        <w:pStyle w:val="Compact"/>
      </w:pPr>
      <w:r>
        <w:t xml:space="preserve">protein, fat, carbohydrate, ash, moisture</w:t>
      </w:r>
    </w:p>
    <w:p>
      <w:pPr>
        <w:numPr>
          <w:ilvl w:val="0"/>
          <w:numId w:val="1004"/>
        </w:numPr>
        <w:pStyle w:val="Compact"/>
      </w:pPr>
      <w:r>
        <w:t xml:space="preserve">energy</w:t>
      </w:r>
    </w:p>
    <w:p>
      <w:pPr>
        <w:numPr>
          <w:ilvl w:val="0"/>
          <w:numId w:val="1004"/>
        </w:numPr>
        <w:pStyle w:val="Compact"/>
      </w:pPr>
      <w:r>
        <w:t xml:space="preserve">vitamins</w:t>
      </w:r>
    </w:p>
    <w:p>
      <w:pPr>
        <w:numPr>
          <w:ilvl w:val="0"/>
          <w:numId w:val="1004"/>
        </w:numPr>
        <w:pStyle w:val="Compact"/>
      </w:pPr>
      <w:r>
        <w:t xml:space="preserve">minerals</w:t>
      </w:r>
    </w:p>
    <w:p>
      <w:pPr>
        <w:numPr>
          <w:ilvl w:val="0"/>
          <w:numId w:val="1004"/>
        </w:numPr>
        <w:pStyle w:val="Compact"/>
      </w:pPr>
      <w:r>
        <w:t xml:space="preserve">fatty acids</w:t>
      </w:r>
    </w:p>
    <w:p>
      <w:pPr>
        <w:numPr>
          <w:ilvl w:val="0"/>
          <w:numId w:val="1004"/>
        </w:numPr>
        <w:pStyle w:val="Compact"/>
      </w:pPr>
      <w:r>
        <w:t xml:space="preserve">amino acids</w:t>
      </w:r>
    </w:p>
    <w:p>
      <w:pPr>
        <w:pStyle w:val="Heading2"/>
      </w:pPr>
      <w:bookmarkStart w:id="24" w:name="allowed-units"/>
      <w:r>
        <w:t xml:space="preserve">Allowed Units</w:t>
      </w:r>
      <w:bookmarkEnd w:id="24"/>
    </w:p>
    <w:p>
      <w:pPr>
        <w:pStyle w:val="FirstParagraph"/>
      </w:pPr>
      <w:r>
        <w:t xml:space="preserve">Only use these units in the app:</w:t>
      </w:r>
    </w:p>
    <w:p>
      <w:pPr>
        <w:numPr>
          <w:ilvl w:val="0"/>
          <w:numId w:val="1005"/>
        </w:numPr>
        <w:pStyle w:val="Compact"/>
      </w:pPr>
      <w:r>
        <w:rPr>
          <w:rStyle w:val="VerbatimChar"/>
        </w:rPr>
        <w:t xml:space="preserve">g/100g</w:t>
      </w:r>
    </w:p>
    <w:p>
      <w:pPr>
        <w:numPr>
          <w:ilvl w:val="0"/>
          <w:numId w:val="1005"/>
        </w:numPr>
        <w:pStyle w:val="Compact"/>
      </w:pPr>
      <w:r>
        <w:rPr>
          <w:rStyle w:val="VerbatimChar"/>
        </w:rPr>
        <w:t xml:space="preserve">mg/100g</w:t>
      </w:r>
    </w:p>
    <w:p>
      <w:pPr>
        <w:numPr>
          <w:ilvl w:val="0"/>
          <w:numId w:val="1005"/>
        </w:numPr>
        <w:pStyle w:val="Compact"/>
      </w:pPr>
      <w:r>
        <w:rPr>
          <w:rStyle w:val="VerbatimChar"/>
        </w:rPr>
        <w:t xml:space="preserve">μg/100g</w:t>
      </w:r>
    </w:p>
    <w:p>
      <w:pPr>
        <w:numPr>
          <w:ilvl w:val="0"/>
          <w:numId w:val="1005"/>
        </w:numPr>
        <w:pStyle w:val="Compact"/>
      </w:pPr>
      <w:r>
        <w:rPr>
          <w:rStyle w:val="VerbatimChar"/>
        </w:rPr>
        <w:t xml:space="preserve">kcal/100g</w:t>
      </w:r>
    </w:p>
    <w:p>
      <w:pPr>
        <w:numPr>
          <w:ilvl w:val="0"/>
          <w:numId w:val="1005"/>
        </w:numPr>
        <w:pStyle w:val="Compact"/>
      </w:pPr>
      <w:r>
        <w:rPr>
          <w:rStyle w:val="VerbatimChar"/>
        </w:rPr>
        <w:t xml:space="preserve">kJ/100g</w:t>
      </w:r>
    </w:p>
    <w:p>
      <w:pPr>
        <w:numPr>
          <w:ilvl w:val="0"/>
          <w:numId w:val="1005"/>
        </w:numPr>
        <w:pStyle w:val="Compact"/>
      </w:pPr>
      <w:r>
        <w:rPr>
          <w:rStyle w:val="VerbatimChar"/>
        </w:rPr>
        <w:t xml:space="preserve">IU/100g</w:t>
      </w:r>
    </w:p>
    <w:p>
      <w:pPr>
        <w:numPr>
          <w:ilvl w:val="0"/>
          <w:numId w:val="1005"/>
        </w:numPr>
        <w:pStyle w:val="Compact"/>
      </w:pPr>
      <w:r>
        <w:rPr>
          <w:rStyle w:val="VerbatimChar"/>
        </w:rPr>
        <w:t xml:space="preserve">%</w:t>
      </w:r>
    </w:p>
    <w:p>
      <w:pPr>
        <w:pStyle w:val="FirstParagraph"/>
      </w:pPr>
      <w:r>
        <w:t xml:space="preserve">Use</w:t>
      </w:r>
      <w:r>
        <w:t xml:space="preserve"> </w:t>
      </w:r>
      <w:r>
        <w:rPr>
          <w:rStyle w:val="VerbatimChar"/>
        </w:rPr>
        <w:t xml:space="preserve">%</w:t>
      </w:r>
      <w:r>
        <w:t xml:space="preserve"> </w:t>
      </w:r>
      <w:r>
        <w:t xml:space="preserve">only for real composition percentages such as moisture, ash, protein, fat, carbohydrate, or similar composition values.</w:t>
      </w:r>
    </w:p>
    <w:p>
      <w:pPr>
        <w:pStyle w:val="Heading2"/>
      </w:pPr>
      <w:bookmarkStart w:id="25" w:name="basis-rule"/>
      <w:r>
        <w:t xml:space="preserve">Basis Rule</w:t>
      </w:r>
      <w:bookmarkEnd w:id="25"/>
    </w:p>
    <w:p>
      <w:pPr>
        <w:pStyle w:val="FirstParagraph"/>
      </w:pPr>
      <w:r>
        <w:t xml:space="preserve">Only enter values that are already reported as per 100 g, per 100g, per 100 grams, or as a valid composition percentage.</w:t>
      </w:r>
    </w:p>
    <w:p>
      <w:pPr>
        <w:pStyle w:val="BodyText"/>
      </w:pPr>
      <w:r>
        <w:t xml:space="preserve">Do not enter rows reported as:</w:t>
      </w:r>
    </w:p>
    <w:p>
      <w:pPr>
        <w:numPr>
          <w:ilvl w:val="0"/>
          <w:numId w:val="1006"/>
        </w:numPr>
        <w:pStyle w:val="Compact"/>
      </w:pPr>
      <w:r>
        <w:t xml:space="preserve">per serving</w:t>
      </w:r>
    </w:p>
    <w:p>
      <w:pPr>
        <w:numPr>
          <w:ilvl w:val="0"/>
          <w:numId w:val="1006"/>
        </w:numPr>
        <w:pStyle w:val="Compact"/>
      </w:pPr>
      <w:r>
        <w:t xml:space="preserve">per portion</w:t>
      </w:r>
    </w:p>
    <w:p>
      <w:pPr>
        <w:numPr>
          <w:ilvl w:val="0"/>
          <w:numId w:val="1006"/>
        </w:numPr>
        <w:pStyle w:val="Compact"/>
      </w:pPr>
      <w:r>
        <w:t xml:space="preserve">per sample</w:t>
      </w:r>
    </w:p>
    <w:p>
      <w:pPr>
        <w:numPr>
          <w:ilvl w:val="0"/>
          <w:numId w:val="1006"/>
        </w:numPr>
        <w:pStyle w:val="Compact"/>
      </w:pPr>
      <w:r>
        <w:t xml:space="preserve">per 100 mL</w:t>
      </w:r>
    </w:p>
    <w:p>
      <w:pPr>
        <w:numPr>
          <w:ilvl w:val="0"/>
          <w:numId w:val="1006"/>
        </w:numPr>
        <w:pStyle w:val="Compact"/>
      </w:pPr>
      <w:r>
        <w:t xml:space="preserve">dry-weight basis</w:t>
      </w:r>
    </w:p>
    <w:p>
      <w:pPr>
        <w:numPr>
          <w:ilvl w:val="0"/>
          <w:numId w:val="1006"/>
        </w:numPr>
        <w:pStyle w:val="Compact"/>
      </w:pPr>
      <w:r>
        <w:t xml:space="preserve">wet-weight basis</w:t>
      </w:r>
    </w:p>
    <w:p>
      <w:pPr>
        <w:numPr>
          <w:ilvl w:val="0"/>
          <w:numId w:val="1006"/>
        </w:numPr>
        <w:pStyle w:val="Compact"/>
      </w:pPr>
      <w:r>
        <w:t xml:space="preserve">any basis you would need to convert</w:t>
      </w:r>
    </w:p>
    <w:p>
      <w:pPr>
        <w:pStyle w:val="FirstParagraph"/>
      </w:pPr>
      <w:r>
        <w:t xml:space="preserve">If the paper has both supported and unsupported rows, enter only the supported rows.</w:t>
      </w:r>
    </w:p>
    <w:p>
      <w:pPr>
        <w:pStyle w:val="Heading2"/>
      </w:pPr>
      <w:bookmarkStart w:id="26" w:name="food-items"/>
      <w:r>
        <w:t xml:space="preserve">Food Items</w:t>
      </w:r>
      <w:bookmarkEnd w:id="26"/>
    </w:p>
    <w:p>
      <w:pPr>
        <w:pStyle w:val="FirstParagraph"/>
      </w:pPr>
      <w:r>
        <w:t xml:space="preserve">Create one</w:t>
      </w:r>
      <w:r>
        <w:t xml:space="preserve"> </w:t>
      </w:r>
      <w:r>
        <w:rPr>
          <w:rStyle w:val="VerbatimChar"/>
        </w:rPr>
        <w:t xml:space="preserve">Food Item</w:t>
      </w:r>
      <w:r>
        <w:t xml:space="preserve"> </w:t>
      </w:r>
      <w:r>
        <w:t xml:space="preserve">for each food, cultivar, treatment, sample type, or product that the table reports separately.</w:t>
      </w:r>
    </w:p>
    <w:p>
      <w:pPr>
        <w:pStyle w:val="BodyText"/>
      </w:pPr>
      <w:r>
        <w:t xml:space="preserve">Use the food search first. If the correct food appears, select it. If it does not appear, type the paper’s food name as a custom food.</w:t>
      </w:r>
    </w:p>
    <w:p>
      <w:pPr>
        <w:pStyle w:val="BodyText"/>
      </w:pPr>
      <w:r>
        <w:t xml:space="preserve">Do not merge different rows just to simplify the work. For example, do not combine raw apple, dried apple, apple peel, and apple pulp unless the paper itself reports them as one food.</w:t>
      </w:r>
    </w:p>
    <w:p>
      <w:pPr>
        <w:pStyle w:val="Heading2"/>
      </w:pPr>
      <w:bookmarkStart w:id="27" w:name="nutrient-rows"/>
      <w:r>
        <w:t xml:space="preserve">Nutrient Rows</w:t>
      </w:r>
      <w:bookmarkEnd w:id="27"/>
    </w:p>
    <w:p>
      <w:pPr>
        <w:pStyle w:val="FirstParagraph"/>
      </w:pPr>
      <w:r>
        <w:t xml:space="preserve">For each food item, add every usable nutrient value that belongs to that food.</w:t>
      </w:r>
    </w:p>
    <w:p>
      <w:pPr>
        <w:pStyle w:val="BodyText"/>
      </w:pPr>
      <w:r>
        <w:t xml:space="preserve">Each nutrient row needs:</w:t>
      </w:r>
    </w:p>
    <w:p>
      <w:pPr>
        <w:numPr>
          <w:ilvl w:val="0"/>
          <w:numId w:val="1007"/>
        </w:numPr>
        <w:pStyle w:val="Compact"/>
      </w:pPr>
      <w:r>
        <w:t xml:space="preserve">nutrient name</w:t>
      </w:r>
    </w:p>
    <w:p>
      <w:pPr>
        <w:numPr>
          <w:ilvl w:val="0"/>
          <w:numId w:val="1007"/>
        </w:numPr>
        <w:pStyle w:val="Compact"/>
      </w:pPr>
      <w:r>
        <w:t xml:space="preserve">value</w:t>
      </w:r>
    </w:p>
    <w:p>
      <w:pPr>
        <w:numPr>
          <w:ilvl w:val="0"/>
          <w:numId w:val="1007"/>
        </w:numPr>
        <w:pStyle w:val="Compact"/>
      </w:pPr>
      <w:r>
        <w:t xml:space="preserve">unit</w:t>
      </w:r>
    </w:p>
    <w:p>
      <w:pPr>
        <w:pStyle w:val="FirstParagraph"/>
      </w:pPr>
      <w:r>
        <w:t xml:space="preserve">Use nutrient search first. If the correct nutrient appears, select it. If it does not appear, use the paper’s nutrient name as a custom nutrient.</w:t>
      </w:r>
    </w:p>
    <w:p>
      <w:pPr>
        <w:pStyle w:val="BodyText"/>
      </w:pPr>
      <w:r>
        <w:t xml:space="preserve">Do not enter a nutrient row if the value is missing, unclear, only shown as a range without a single usable value, or not tied to a specific food.</w:t>
      </w:r>
    </w:p>
    <w:p>
      <w:pPr>
        <w:pStyle w:val="Heading2"/>
      </w:pPr>
      <w:bookmarkStart w:id="28" w:name="pdf-highlights"/>
      <w:r>
        <w:t xml:space="preserve">PDF Highlights</w:t>
      </w:r>
      <w:bookmarkEnd w:id="28"/>
    </w:p>
    <w:p>
      <w:pPr>
        <w:pStyle w:val="FirstParagraph"/>
      </w:pPr>
      <w:r>
        <w:t xml:space="preserve">Highlighted nutrient names are only a helper.</w:t>
      </w:r>
    </w:p>
    <w:p>
      <w:pPr>
        <w:pStyle w:val="BodyText"/>
      </w:pPr>
      <w:r>
        <w:t xml:space="preserve">Use them when they are correct, but still read the table yourself. A missing highlight does not mean the row should be skipped.</w:t>
      </w:r>
    </w:p>
    <w:p>
      <w:pPr>
        <w:pStyle w:val="Heading2"/>
      </w:pPr>
      <w:bookmarkStart w:id="29" w:name="do-not-extract"/>
      <w:r>
        <w:t xml:space="preserve">Do Not Extract</w:t>
      </w:r>
      <w:bookmarkEnd w:id="29"/>
    </w:p>
    <w:p>
      <w:pPr>
        <w:pStyle w:val="FirstParagraph"/>
      </w:pPr>
      <w:r>
        <w:t xml:space="preserve">Do not enter these as nutrient rows:</w:t>
      </w:r>
    </w:p>
    <w:p>
      <w:pPr>
        <w:numPr>
          <w:ilvl w:val="0"/>
          <w:numId w:val="1008"/>
        </w:numPr>
        <w:pStyle w:val="Compact"/>
      </w:pPr>
      <w:r>
        <w:t xml:space="preserve">clinical outcomes</w:t>
      </w:r>
    </w:p>
    <w:p>
      <w:pPr>
        <w:numPr>
          <w:ilvl w:val="0"/>
          <w:numId w:val="1008"/>
        </w:numPr>
        <w:pStyle w:val="Compact"/>
      </w:pPr>
      <w:r>
        <w:t xml:space="preserve">blood markers</w:t>
      </w:r>
    </w:p>
    <w:p>
      <w:pPr>
        <w:numPr>
          <w:ilvl w:val="0"/>
          <w:numId w:val="1008"/>
        </w:numPr>
        <w:pStyle w:val="Compact"/>
      </w:pPr>
      <w:r>
        <w:t xml:space="preserve">digestibility or bioavailability results</w:t>
      </w:r>
    </w:p>
    <w:p>
      <w:pPr>
        <w:numPr>
          <w:ilvl w:val="0"/>
          <w:numId w:val="1008"/>
        </w:numPr>
        <w:pStyle w:val="Compact"/>
      </w:pPr>
      <w:r>
        <w:t xml:space="preserve">antioxidant assays such as DPPH, FRAP, ORAC, IC50</w:t>
      </w:r>
    </w:p>
    <w:p>
      <w:pPr>
        <w:numPr>
          <w:ilvl w:val="0"/>
          <w:numId w:val="1008"/>
        </w:numPr>
        <w:pStyle w:val="Compact"/>
      </w:pPr>
      <w:r>
        <w:t xml:space="preserve">pH</w:t>
      </w:r>
    </w:p>
    <w:p>
      <w:pPr>
        <w:numPr>
          <w:ilvl w:val="0"/>
          <w:numId w:val="1008"/>
        </w:numPr>
        <w:pStyle w:val="Compact"/>
      </w:pPr>
      <w:r>
        <w:t xml:space="preserve">color values such as L</w:t>
      </w:r>
      <w:r>
        <w:rPr>
          <w:i/>
        </w:rPr>
        <w:t xml:space="preserve">, a</w:t>
      </w:r>
      <w:r>
        <w:t xml:space="preserve">, b*</w:t>
      </w:r>
    </w:p>
    <w:p>
      <w:pPr>
        <w:numPr>
          <w:ilvl w:val="0"/>
          <w:numId w:val="1008"/>
        </w:numPr>
        <w:pStyle w:val="Compact"/>
      </w:pPr>
      <w:r>
        <w:t xml:space="preserve">texture, viscosity, hardness, yield, or sensory scores</w:t>
      </w:r>
    </w:p>
    <w:p>
      <w:pPr>
        <w:numPr>
          <w:ilvl w:val="0"/>
          <w:numId w:val="1008"/>
        </w:numPr>
        <w:pStyle w:val="Compact"/>
      </w:pPr>
      <w:r>
        <w:t xml:space="preserve">microbial counts</w:t>
      </w:r>
    </w:p>
    <w:p>
      <w:pPr>
        <w:numPr>
          <w:ilvl w:val="0"/>
          <w:numId w:val="1008"/>
        </w:numPr>
        <w:pStyle w:val="Compact"/>
      </w:pPr>
      <w:r>
        <w:t xml:space="preserve">processing losses</w:t>
      </w:r>
    </w:p>
    <w:p>
      <w:pPr>
        <w:numPr>
          <w:ilvl w:val="0"/>
          <w:numId w:val="1008"/>
        </w:numPr>
        <w:pStyle w:val="Compact"/>
      </w:pPr>
      <w:r>
        <w:t xml:space="preserve">values from another source cited by the paper</w:t>
      </w:r>
    </w:p>
    <w:p>
      <w:pPr>
        <w:numPr>
          <w:ilvl w:val="0"/>
          <w:numId w:val="1008"/>
        </w:numPr>
        <w:pStyle w:val="Compact"/>
      </w:pPr>
      <w:r>
        <w:t xml:space="preserve">values you calculated yourself</w:t>
      </w:r>
    </w:p>
    <w:p>
      <w:pPr>
        <w:pStyle w:val="Heading2"/>
      </w:pPr>
      <w:bookmarkStart w:id="30" w:name="button-meanings"/>
      <w:r>
        <w:t xml:space="preserve">Button Meanings</w:t>
      </w:r>
      <w:bookmarkEnd w:id="30"/>
    </w:p>
    <w:p>
      <w:pPr>
        <w:pStyle w:val="FirstParagraph"/>
      </w:pPr>
      <w:r>
        <w:rPr>
          <w:rStyle w:val="VerbatimChar"/>
        </w:rPr>
        <w:t xml:space="preserve">Save Draft</w:t>
      </w:r>
    </w:p>
    <w:p>
      <w:pPr>
        <w:pStyle w:val="BodyText"/>
      </w:pPr>
      <w:r>
        <w:t xml:space="preserve">Use this when you are still working. Drafts can be edited later.</w:t>
      </w:r>
    </w:p>
    <w:p>
      <w:pPr>
        <w:pStyle w:val="BodyText"/>
      </w:pPr>
      <w:r>
        <w:rPr>
          <w:rStyle w:val="VerbatimChar"/>
        </w:rPr>
        <w:t xml:space="preserve">Submit Final Extraction</w:t>
      </w:r>
    </w:p>
    <w:p>
      <w:pPr>
        <w:pStyle w:val="BodyText"/>
      </w:pPr>
      <w:r>
        <w:t xml:space="preserve">Use this when the paper has usable data and all usable rows have been entered.</w:t>
      </w:r>
    </w:p>
    <w:p>
      <w:pPr>
        <w:pStyle w:val="BodyText"/>
      </w:pPr>
      <w:r>
        <w:rPr>
          <w:rStyle w:val="VerbatimChar"/>
        </w:rPr>
        <w:t xml:space="preserve">No Usable Data</w:t>
      </w:r>
    </w:p>
    <w:p>
      <w:pPr>
        <w:pStyle w:val="BodyText"/>
      </w:pPr>
      <w:r>
        <w:t xml:space="preserve">Use this when the paper does not contain any rows you can safely enter.</w:t>
      </w:r>
    </w:p>
    <w:p>
      <w:pPr>
        <w:pStyle w:val="BodyText"/>
      </w:pPr>
      <w:r>
        <w:rPr>
          <w:rStyle w:val="VerbatimChar"/>
        </w:rPr>
        <w:t xml:space="preserve">Definitely No Data</w:t>
      </w:r>
    </w:p>
    <w:p>
      <w:pPr>
        <w:pStyle w:val="BodyText"/>
      </w:pPr>
      <w:r>
        <w:t xml:space="preserve">Use this only for obvious cases where the whole paper is not usable for OpenNutri. Examples: clinical trial, review article with no original table, wrong file, non-food topic, or paper with only methods/assays and no composition table.</w:t>
      </w:r>
    </w:p>
    <w:p>
      <w:pPr>
        <w:pStyle w:val="BodyText"/>
      </w:pPr>
      <w:r>
        <w:t xml:space="preserve">If you are unsure, use</w:t>
      </w:r>
      <w:r>
        <w:t xml:space="preserve"> </w:t>
      </w:r>
      <w:r>
        <w:rPr>
          <w:rStyle w:val="VerbatimChar"/>
        </w:rPr>
        <w:t xml:space="preserve">Save Draft</w:t>
      </w:r>
      <w:r>
        <w:t xml:space="preserve"> </w:t>
      </w:r>
      <w:r>
        <w:t xml:space="preserve">and ask.</w:t>
      </w:r>
    </w:p>
    <w:p>
      <w:pPr>
        <w:pStyle w:val="Heading2"/>
      </w:pPr>
      <w:bookmarkStart w:id="31" w:name="when-to-ask"/>
      <w:r>
        <w:t xml:space="preserve">When to Ask</w:t>
      </w:r>
      <w:bookmarkEnd w:id="31"/>
    </w:p>
    <w:p>
      <w:pPr>
        <w:pStyle w:val="FirstParagraph"/>
      </w:pPr>
      <w:r>
        <w:t xml:space="preserve">Ask Arciel before submitting when:</w:t>
      </w:r>
    </w:p>
    <w:p>
      <w:pPr>
        <w:numPr>
          <w:ilvl w:val="0"/>
          <w:numId w:val="1009"/>
        </w:numPr>
        <w:pStyle w:val="Compact"/>
      </w:pPr>
      <w:r>
        <w:t xml:space="preserve">you would need to convert units or basis</w:t>
      </w:r>
    </w:p>
    <w:p>
      <w:pPr>
        <w:numPr>
          <w:ilvl w:val="0"/>
          <w:numId w:val="1009"/>
        </w:numPr>
        <w:pStyle w:val="Compact"/>
      </w:pPr>
      <w:r>
        <w:t xml:space="preserve">you are unsure whether a table is food composition data</w:t>
      </w:r>
    </w:p>
    <w:p>
      <w:pPr>
        <w:numPr>
          <w:ilvl w:val="0"/>
          <w:numId w:val="1009"/>
        </w:numPr>
        <w:pStyle w:val="Compact"/>
      </w:pPr>
      <w:r>
        <w:t xml:space="preserve">a table continues across pages and the mapping is unclear</w:t>
      </w:r>
    </w:p>
    <w:p>
      <w:pPr>
        <w:numPr>
          <w:ilvl w:val="0"/>
          <w:numId w:val="1009"/>
        </w:numPr>
        <w:pStyle w:val="Compact"/>
      </w:pPr>
      <w:r>
        <w:t xml:space="preserve">a food grouping is unclear</w:t>
      </w:r>
    </w:p>
    <w:p>
      <w:pPr>
        <w:numPr>
          <w:ilvl w:val="0"/>
          <w:numId w:val="1009"/>
        </w:numPr>
        <w:pStyle w:val="Compact"/>
      </w:pPr>
      <w:r>
        <w:t xml:space="preserve">a nutrient name is unfamiliar and search does not help</w:t>
      </w:r>
    </w:p>
    <w:p>
      <w:pPr>
        <w:numPr>
          <w:ilvl w:val="0"/>
          <w:numId w:val="1009"/>
        </w:numPr>
        <w:pStyle w:val="Compact"/>
      </w:pPr>
      <w:r>
        <w:t xml:space="preserve">supported and unsupported data are mixed in a confusing way</w:t>
      </w:r>
    </w:p>
    <w:p>
      <w:pPr>
        <w:numPr>
          <w:ilvl w:val="0"/>
          <w:numId w:val="1009"/>
        </w:numPr>
        <w:pStyle w:val="Compact"/>
      </w:pPr>
      <w:r>
        <w:t xml:space="preserve">the PDF or UI appears broken</w:t>
      </w:r>
    </w:p>
    <w:p>
      <w:pPr>
        <w:pStyle w:val="Heading2"/>
      </w:pPr>
      <w:bookmarkStart w:id="32" w:name="examples"/>
      <w:r>
        <w:t xml:space="preserve">Examples</w:t>
      </w:r>
      <w:bookmarkEnd w:id="32"/>
    </w:p>
    <w:p>
      <w:pPr>
        <w:pStyle w:val="Heading3"/>
      </w:pPr>
      <w:bookmarkStart w:id="33" w:name="good"/>
      <w:r>
        <w:t xml:space="preserve">Good</w:t>
      </w:r>
      <w:bookmarkEnd w:id="33"/>
    </w:p>
    <w:p>
      <w:pPr>
        <w:pStyle w:val="FirstParagraph"/>
      </w:pPr>
      <w:r>
        <w:t xml:space="preserve">Table reports:</w:t>
      </w:r>
    </w:p>
    <w:p>
      <w:pPr>
        <w:numPr>
          <w:ilvl w:val="0"/>
          <w:numId w:val="1010"/>
        </w:numPr>
        <w:pStyle w:val="Compact"/>
      </w:pPr>
      <w:r>
        <w:t xml:space="preserve">Apple peel</w:t>
      </w:r>
    </w:p>
    <w:p>
      <w:pPr>
        <w:numPr>
          <w:ilvl w:val="0"/>
          <w:numId w:val="1010"/>
        </w:numPr>
        <w:pStyle w:val="Compact"/>
      </w:pPr>
      <w:r>
        <w:t xml:space="preserve">Vitamin C: 12.4 mg/100g</w:t>
      </w:r>
    </w:p>
    <w:p>
      <w:pPr>
        <w:numPr>
          <w:ilvl w:val="0"/>
          <w:numId w:val="1010"/>
        </w:numPr>
        <w:pStyle w:val="Compact"/>
      </w:pPr>
      <w:r>
        <w:t xml:space="preserve">Iron: 0.3 mg/100g</w:t>
      </w:r>
    </w:p>
    <w:p>
      <w:pPr>
        <w:numPr>
          <w:ilvl w:val="0"/>
          <w:numId w:val="1010"/>
        </w:numPr>
        <w:pStyle w:val="Compact"/>
      </w:pPr>
      <w:r>
        <w:t xml:space="preserve">Moisture: 81.2%</w:t>
      </w:r>
    </w:p>
    <w:p>
      <w:pPr>
        <w:pStyle w:val="FirstParagraph"/>
      </w:pPr>
      <w:r>
        <w:t xml:space="preserve">Enter one food item for</w:t>
      </w:r>
      <w:r>
        <w:t xml:space="preserve"> </w:t>
      </w:r>
      <w:r>
        <w:rPr>
          <w:rStyle w:val="VerbatimChar"/>
        </w:rPr>
        <w:t xml:space="preserve">Apple peel</w:t>
      </w:r>
      <w:r>
        <w:t xml:space="preserve"> </w:t>
      </w:r>
      <w:r>
        <w:t xml:space="preserve">and three nutrient rows.</w:t>
      </w:r>
    </w:p>
    <w:p>
      <w:pPr>
        <w:pStyle w:val="Heading3"/>
      </w:pPr>
      <w:bookmarkStart w:id="34" w:name="not-usable"/>
      <w:r>
        <w:t xml:space="preserve">Not Usable</w:t>
      </w:r>
      <w:bookmarkEnd w:id="34"/>
    </w:p>
    <w:p>
      <w:pPr>
        <w:pStyle w:val="FirstParagraph"/>
      </w:pPr>
      <w:r>
        <w:t xml:space="preserve">Table reports:</w:t>
      </w:r>
    </w:p>
    <w:p>
      <w:pPr>
        <w:numPr>
          <w:ilvl w:val="0"/>
          <w:numId w:val="1011"/>
        </w:numPr>
        <w:pStyle w:val="Compact"/>
      </w:pPr>
      <w:r>
        <w:t xml:space="preserve">pH: 3.4</w:t>
      </w:r>
    </w:p>
    <w:p>
      <w:pPr>
        <w:numPr>
          <w:ilvl w:val="0"/>
          <w:numId w:val="1011"/>
        </w:numPr>
        <w:pStyle w:val="Compact"/>
      </w:pPr>
      <w:r>
        <w:t xml:space="preserve">L* color: 65.2</w:t>
      </w:r>
    </w:p>
    <w:p>
      <w:pPr>
        <w:numPr>
          <w:ilvl w:val="0"/>
          <w:numId w:val="1011"/>
        </w:numPr>
        <w:pStyle w:val="Compact"/>
      </w:pPr>
      <w:r>
        <w:t xml:space="preserve">DPPH inhibition: 82%</w:t>
      </w:r>
    </w:p>
    <w:p>
      <w:pPr>
        <w:pStyle w:val="FirstParagraph"/>
      </w:pPr>
      <w:r>
        <w:t xml:space="preserve">Do not enter these rows. If the paper has nothing else, use</w:t>
      </w:r>
      <w:r>
        <w:t xml:space="preserve"> </w:t>
      </w:r>
      <w:r>
        <w:rPr>
          <w:rStyle w:val="VerbatimChar"/>
        </w:rPr>
        <w:t xml:space="preserve">No Usable Data</w:t>
      </w:r>
      <w:r>
        <w:t xml:space="preserve">.</w:t>
      </w:r>
    </w:p>
    <w:p>
      <w:pPr>
        <w:pStyle w:val="Heading3"/>
      </w:pPr>
      <w:bookmarkStart w:id="35" w:name="mixed"/>
      <w:r>
        <w:t xml:space="preserve">Mixed</w:t>
      </w:r>
      <w:bookmarkEnd w:id="35"/>
    </w:p>
    <w:p>
      <w:pPr>
        <w:pStyle w:val="FirstParagraph"/>
      </w:pPr>
      <w:r>
        <w:t xml:space="preserve">Table reports:</w:t>
      </w:r>
    </w:p>
    <w:p>
      <w:pPr>
        <w:numPr>
          <w:ilvl w:val="0"/>
          <w:numId w:val="1012"/>
        </w:numPr>
        <w:pStyle w:val="Compact"/>
      </w:pPr>
      <w:r>
        <w:t xml:space="preserve">Banana flour protein: 6.2 g/serving</w:t>
      </w:r>
    </w:p>
    <w:p>
      <w:pPr>
        <w:numPr>
          <w:ilvl w:val="0"/>
          <w:numId w:val="1012"/>
        </w:numPr>
        <w:pStyle w:val="Compact"/>
      </w:pPr>
      <w:r>
        <w:t xml:space="preserve">Banana flour iron: 1.1 mg/100g</w:t>
      </w:r>
    </w:p>
    <w:p>
      <w:pPr>
        <w:pStyle w:val="FirstParagraph"/>
      </w:pPr>
      <w:r>
        <w:t xml:space="preserve">Enter only</w:t>
      </w:r>
      <w:r>
        <w:t xml:space="preserve"> </w:t>
      </w:r>
      <w:r>
        <w:rPr>
          <w:rStyle w:val="VerbatimChar"/>
        </w:rPr>
        <w:t xml:space="preserve">iron 1.1 mg/100g</w:t>
      </w:r>
      <w:r>
        <w:t xml:space="preserve">. Do not convert</w:t>
      </w:r>
      <w:r>
        <w:t xml:space="preserve"> </w:t>
      </w:r>
      <w:r>
        <w:rPr>
          <w:rStyle w:val="VerbatimChar"/>
        </w:rPr>
        <w:t xml:space="preserve">protein 6.2 g/serving</w:t>
      </w:r>
      <w:r>
        <w:t xml:space="preserve">.</w:t>
      </w:r>
    </w:p>
    <w:p>
      <w:pPr>
        <w:pStyle w:val="Heading2"/>
      </w:pPr>
      <w:bookmarkStart w:id="36" w:name="final-check-before-submitting"/>
      <w:r>
        <w:t xml:space="preserve">Final Check Before Submitting</w:t>
      </w:r>
      <w:bookmarkEnd w:id="36"/>
    </w:p>
    <w:p>
      <w:pPr>
        <w:pStyle w:val="FirstParagraph"/>
      </w:pPr>
      <w:r>
        <w:t xml:space="preserve">Before</w:t>
      </w:r>
      <w:r>
        <w:t xml:space="preserve"> </w:t>
      </w:r>
      <w:r>
        <w:rPr>
          <w:rStyle w:val="VerbatimChar"/>
        </w:rPr>
        <w:t xml:space="preserve">Submit Final Extraction</w:t>
      </w:r>
      <w:r>
        <w:t xml:space="preserve">, confirm:</w:t>
      </w:r>
    </w:p>
    <w:p>
      <w:pPr>
        <w:numPr>
          <w:ilvl w:val="0"/>
          <w:numId w:val="1013"/>
        </w:numPr>
        <w:pStyle w:val="Compact"/>
      </w:pPr>
      <w:r>
        <w:t xml:space="preserve">every food item is a real row or group from the paper</w:t>
      </w:r>
    </w:p>
    <w:p>
      <w:pPr>
        <w:numPr>
          <w:ilvl w:val="0"/>
          <w:numId w:val="1013"/>
        </w:numPr>
        <w:pStyle w:val="Compact"/>
      </w:pPr>
      <w:r>
        <w:t xml:space="preserve">every nutrient value is numeric and visible in the paper</w:t>
      </w:r>
    </w:p>
    <w:p>
      <w:pPr>
        <w:numPr>
          <w:ilvl w:val="0"/>
          <w:numId w:val="1013"/>
        </w:numPr>
        <w:pStyle w:val="Compact"/>
      </w:pPr>
      <w:r>
        <w:t xml:space="preserve">every unit is one of the allowed units</w:t>
      </w:r>
    </w:p>
    <w:p>
      <w:pPr>
        <w:numPr>
          <w:ilvl w:val="0"/>
          <w:numId w:val="1013"/>
        </w:numPr>
        <w:pStyle w:val="Compact"/>
      </w:pPr>
      <w:r>
        <w:t xml:space="preserve">no unsupported basis was converted</w:t>
      </w:r>
    </w:p>
    <w:p>
      <w:pPr>
        <w:numPr>
          <w:ilvl w:val="0"/>
          <w:numId w:val="1013"/>
        </w:numPr>
        <w:pStyle w:val="Compact"/>
      </w:pPr>
      <w:r>
        <w:t xml:space="preserve">no pH, color, texture, assay, clinical, or sensory values were entered</w:t>
      </w:r>
    </w:p>
    <w:p>
      <w:pPr>
        <w:numPr>
          <w:ilvl w:val="0"/>
          <w:numId w:val="1013"/>
        </w:numPr>
        <w:pStyle w:val="Compact"/>
      </w:pPr>
      <w:r>
        <w:t xml:space="preserve">all usable rows were included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2026-04-27T14:50:22Z</dcterms:created>
  <dcterms:modified xsi:type="dcterms:W3CDTF">2026-04-27T14:50:22Z</dcterms:modified>
</cp:coreProperties>
</file>

<file path=docProps/custom.xml><?xml version="1.0" encoding="utf-8"?>
<Properties xmlns="http://schemas.openxmlformats.org/officeDocument/2006/custom-properties" xmlns:vt="http://schemas.openxmlformats.org/officeDocument/2006/docPropsVTypes"/>
</file>