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 xml:space="preserve">By the midterm stage, OpenNutri has a working core system. The crawler collects metadata from Europe PMC, OpenAlex, Semantic Scholar, and DergiPark; applies search gate and metadata filter steps; imports suitable PDFs into the Supabase layer; and hands those papers to the annotator interface. The annotator opens the paper on top of the PDF, stores food and nutrient entries, and turns user decisions into feedback through </w:t>
      </w:r>
      <w:r>
        <w:rPr>
          <w:rFonts w:ascii="Courier New" w:hAnsi="Courier New" w:eastAsia="Courier New"/>
        </w:rPr>
        <w:t>paper_label_events</w:t>
      </w:r>
      <w:r>
        <w:t xml:space="preserve"> and </w:t>
      </w:r>
      <w:r>
        <w:rPr>
          <w:rFonts w:ascii="Courier New" w:hAnsi="Courier New" w:eastAsia="Courier New"/>
        </w:rPr>
        <w:t>paper_global_labels</w:t>
      </w:r>
      <w:r>
        <w:t>.</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sharper for Turkish literature. Many studies published in Turkey remain inside DergiPark and similar archives without becoming part of standard international food-data infrastructure. As a result, local foods, local varieties, and Turkish-language studies lose digital visibility.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modeled as separate tables. As a result, the food and nutrient choices in the UI and the terms used by the crawler rely on the same vocabulary.</w:t>
      </w:r>
    </w:p>
    <w:p>
      <w:r>
        <w:t xml:space="preserve">Ontology-centered work such as FoodOn [3] is relevant for standardizing food names. The </w:t>
      </w:r>
      <w:r>
        <w:rPr>
          <w:rFonts w:ascii="Courier New" w:hAnsi="Courier New" w:eastAsia="Courier New"/>
        </w:rPr>
        <w:t>entities</w:t>
      </w:r>
      <w:r>
        <w:t xml:space="preserve"> and </w:t>
      </w:r>
      <w:r>
        <w:rPr>
          <w:rFonts w:ascii="Courier New" w:hAnsi="Courier New" w:eastAsia="Courier New"/>
        </w:rPr>
        <w:t>entity_aliases</w:t>
      </w:r>
      <w:r>
        <w:t xml:space="preserve"> structure was chosen for the same standardization need.</w:t>
      </w:r>
    </w:p>
    <w:p>
      <w:pPr>
        <w:pStyle w:val="Heading2"/>
      </w:pPr>
      <w:r>
        <w:t>2. Scientific literature sources</w:t>
      </w:r>
    </w:p>
    <w:p>
      <w:r>
        <w:t>PubMed Central [4] and Europe PMC [5] were evaluated as core external sources because they provide structured access to open-access biomedical and life-science literature. DergiPark [6] was included specifically to reach Turkish-language studies. During the midterm period, the DergiPark path was redesigned from a simple broad search approach into a renewable local journal/issue/article index. That change made Turkish-language crawling more controlled and auditable.</w:t>
      </w:r>
    </w:p>
    <w:p>
      <w:pPr>
        <w:pStyle w:val="Heading2"/>
      </w:pPr>
      <w:r>
        <w:t>3. Human-in-the-loop learning approach</w:t>
      </w:r>
    </w:p>
    <w:p>
      <w:r>
        <w:t xml:space="preserve">Human-in-the-loop methodology [7] keeps the expert user as an active part of extraction and verification. In OpenNutri, this approach is implemented through the annotator UI and </w:t>
      </w:r>
      <w:r>
        <w:rPr>
          <w:rFonts w:ascii="Courier New" w:hAnsi="Courier New" w:eastAsia="Courier New"/>
        </w:rPr>
        <w:t>paper_label_events</w:t>
      </w:r>
      <w:r>
        <w:t xml:space="preserve">. User actions such as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and global </w:t>
      </w:r>
      <w:r>
        <w:rPr>
          <w:rFonts w:ascii="Courier New" w:hAnsi="Courier New" w:eastAsia="Courier New"/>
        </w:rPr>
        <w:t>definitely_no_data</w:t>
      </w:r>
      <w:r>
        <w:t xml:space="preserve"> directly become crawler feedback.</w:t>
      </w:r>
    </w:p>
    <w:p>
      <w:pPr>
        <w:pStyle w:val="Heading2"/>
      </w:pPr>
      <w:r>
        <w:t>4. PDF processing and UI infrastructure</w:t>
      </w:r>
    </w:p>
    <w:p>
      <w:r>
        <w:t>Because article content is usually distributed as PDF, in-browser PDF processing became essential. PDF.js [8] and React [9] were evaluated together. The nutrient-highlighting feature required extra scanning logic because the PDF text layer is fragmented across spans.</w:t>
      </w:r>
    </w:p>
    <w:p>
      <w:pPr>
        <w:pStyle w:val="Heading2"/>
      </w:pPr>
      <w:r>
        <w:t>5. Platform components used in the implementation</w:t>
      </w:r>
    </w:p>
    <w:p>
      <w:r>
        <w:t>Supabase [10] was selected because it combines authentication, row-level access control, file storage, and client access in one platform. At the midterm stage, both the annotator and the data pipeline already share this backend.</w:t>
      </w:r>
    </w:p>
    <w:p>
      <w:r>
        <w:t>Taken together, this literature and platform review explains why the project uses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describe how those choices are implemented.</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 xml:space="preserve">Figure 3 presents a simplified database summary derived from </w:t>
      </w:r>
      <w:r>
        <w:rPr>
          <w:rFonts w:ascii="Courier New" w:hAnsi="Courier New" w:eastAsia="Courier New"/>
        </w:rPr>
        <w:t>apps/expert-annotator/migration.sql</w:t>
      </w:r>
      <w:r>
        <w:t>, which is the code-level source of truth for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 xml:space="preserve">Figure 3. Simplified view of the main database structure used in the midterm system, grouped into four responsibilities so the project is easier to understand. The summary is derived from the current </w:t>
      </w:r>
      <w:r>
        <w:rPr>
          <w:rFonts w:ascii="Courier New" w:hAnsi="Courier New" w:eastAsia="Courier New"/>
        </w:rPr>
        <w:t>migration.sql</w:t>
      </w:r>
      <w:r>
        <w:t xml:space="preserve"> schema definition.</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 xml:space="preserve">counting valid food items to prevent empty placeholder cards from inflating </w:t>
      </w:r>
      <w:r>
        <w:rPr>
          <w:rFonts w:ascii="Courier New" w:hAnsi="Courier New" w:eastAsia="Courier New"/>
        </w:rPr>
        <w:t>food_item_count</w:t>
      </w:r>
      <w:r>
        <w:t>.</w:t>
      </w:r>
    </w:p>
    <w:p>
      <w:r>
        <w:t>Figure 4 shows the numeric summary produced by the crawler's staged flow.</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_en.png"/>
                    <pic:cNvPicPr/>
                  </pic:nvPicPr>
                  <pic:blipFill>
                    <a:blip r:embed="rId12"/>
                    <a:stretch>
                      <a:fillRect/>
                    </a:stretch>
                  </pic:blipFill>
                  <pic:spPr>
                    <a:xfrm>
                      <a:off x="0" y="0"/>
                      <a:ext cx="5669280" cy="3099168"/>
                    </a:xfrm>
                    <a:prstGeom prst="rect"/>
                  </pic:spPr>
                </pic:pic>
              </a:graphicData>
            </a:graphic>
          </wp:inline>
        </w:drawing>
      </w:r>
    </w:p>
    <w:p>
      <w:r>
        <w:t>Figure 4. Stage counts derived from the manifest summary of a representative Turkish live run.</w:t>
      </w:r>
    </w:p>
    <w:p>
      <w:r>
        <w:t>Figure 5 is the placeholder for the final annotator UI screenshot.</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_en.png"/>
                    <pic:cNvPicPr/>
                  </pic:nvPicPr>
                  <pic:blipFill>
                    <a:blip r:embed="rId13"/>
                    <a:stretch>
                      <a:fillRect/>
                    </a:stretch>
                  </pic:blipFill>
                  <pic:spPr>
                    <a:xfrm>
                      <a:off x="0" y="0"/>
                      <a:ext cx="5669280" cy="3130743"/>
                    </a:xfrm>
                    <a:prstGeom prst="rect"/>
                  </pic:spPr>
                </pic:pic>
              </a:graphicData>
            </a:graphic>
          </wp:inline>
        </w:drawing>
      </w:r>
    </w:p>
    <w:p>
      <w:r>
        <w:t xml:space="preserve">Figure 5. Before final submission, this visual should be replaced with a real screenshot of the current annotator interface. The simplest approach is to replace </w:t>
      </w:r>
      <w:r>
        <w:rPr>
          <w:rFonts w:ascii="Courier New" w:hAnsi="Courier New" w:eastAsia="Courier New"/>
        </w:rPr>
        <w:t>docs/defense/assets/figure_5_annotator_placeholder_en.png</w:t>
      </w:r>
      <w:r>
        <w:t xml:space="preserve"> with the screenshot under the same filename and rerun the export script.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Two crawler capabilities are especially important at this stage: separate target pools for English and Turkish literature, and feedback reuse at both term and query-batch level.</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w:t>
      </w:r>
      <w:r>
        <w:rPr>
          <w:rFonts w:ascii="Courier New" w:hAnsi="Courier New" w:eastAsia="Courier New"/>
        </w:rPr>
        <w:t>feedback/update_terms.py</w:t>
      </w:r>
      <w:r>
        <w:t xml:space="preserve"> script reads user-created event records and turns them into learning signals. Cases with meaningful saved data are treated as positive. Papers that clearly contain no relevant data or are repeatedly skipped are treated as negative. Mixed cases are kept out of training.</w:t>
      </w:r>
    </w:p>
    <w:p>
      <w:r>
        <w:t>This is the clearest architectural idea in the midterm system. User decisions are reused as soft scoring signals in later crawler runs.</w:t>
      </w:r>
    </w:p>
    <w:p>
      <w:r>
        <w:t xml:space="preserve">When the end-user paper pool becomes too small, </w:t>
      </w:r>
      <w:r>
        <w:rPr>
          <w:rFonts w:ascii="Courier New" w:hAnsi="Courier New" w:eastAsia="Courier New"/>
        </w:rPr>
        <w:t>ensure_paper_stock.py</w:t>
      </w:r>
      <w:r>
        <w:t xml:space="preserve">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This report focuses on the first three working semester goals and the data/feedback infrastructure supporting them. Document segmentation and the LLM-based extraction process belong to the next phase.</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