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 xml:space="preserve">Arasınav itibarıyla OpenNutri'nin çalışan çekirdeği kurulmuştur. Crawler, Europe PMC, OpenAlex, Semantic Scholar ve DergiPark kaynaklarından metadata toplar; search gate ve metadata filter ile adayları eler; uygun PDF dosyalarını Supabase katmanına aktarır. Annotator arayüzü bu makaleleri PDF üzerinde açar, food ve nutrient girdilerini kaydeder, kullanıcı kararlarını </w:t>
      </w:r>
      <w:r>
        <w:rPr>
          <w:rFonts w:ascii="Courier New" w:hAnsi="Courier New" w:eastAsia="Courier New"/>
        </w:rPr>
        <w:t>paper_label_events</w:t>
      </w:r>
      <w:r>
        <w:t xml:space="preserve"> ve </w:t>
      </w:r>
      <w:r>
        <w:rPr>
          <w:rFonts w:ascii="Courier New" w:hAnsi="Courier New" w:eastAsia="Courier New"/>
        </w:rPr>
        <w:t>paper_global_labels</w:t>
      </w:r>
      <w:r>
        <w:t xml:space="preserve"> üzerinden geri beslemeye dönüştürür.</w:t>
      </w:r>
    </w:p>
    <w:p>
      <w:r>
        <w:t>Bu akışta üç teknik karar öne çıkmaktadır. İlk karar, PDF indirmeden önce güçlü ön eleme yapmaktır; böylece uzman önüne daha seçilmiş makaleler gelir. İkinci karar, Türkçe ve İngilizce literatürü ayrı hedef havuzlar olarak yönetmektir; bu sayede Türkçe çalışmalar sistemin doğrudan kapsama alanına girer. Üçüncü karar, uzman anotasyonunu sonraki crawler koşularını iyileştiren bir sinyale dönüştürmektir.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Sonraki aşama</w:t>
            </w:r>
          </w:p>
        </w:tc>
        <w:tc>
          <w:tcPr>
            <w:tcW w:type="dxa" w:w="3213"/>
          </w:tcPr>
          <w:p>
            <w:r>
              <w:t>Bu raporun odağı çalışan ilk üç başlıktır</w:t>
            </w:r>
          </w:p>
        </w:tc>
      </w:tr>
    </w:tbl>
    <w:p>
      <w:r>
        <w:t>Tablo 2, çalışan sistemin ana parçalarını ve her parçanın projedeki rolünü özetlemektedir.</w:t>
      </w:r>
    </w:p>
    <w:tbl>
      <w:tblPr>
        <w:tblStyle w:val="TableGrid"/>
        <w:tblW w:type="auto" w:w="0"/>
        <w:tblLook w:firstColumn="1" w:firstRow="1" w:lastColumn="0" w:lastRow="0" w:noHBand="0" w:noVBand="1" w:val="04A0"/>
      </w:tblPr>
      <w:tblGrid>
        <w:gridCol w:w="3213"/>
        <w:gridCol w:w="3213"/>
        <w:gridCol w:w="3213"/>
      </w:tblGrid>
      <w:tr>
        <w:tc>
          <w:tcPr>
            <w:tcW w:type="dxa" w:w="3213"/>
          </w:tcPr>
          <w:p>
            <w:r>
              <w:t>Katman</w:t>
            </w:r>
          </w:p>
        </w:tc>
        <w:tc>
          <w:tcPr>
            <w:tcW w:type="dxa" w:w="3213"/>
          </w:tcPr>
          <w:p>
            <w:r>
              <w:t>Bu aşamada çalışan yetenekler</w:t>
            </w:r>
          </w:p>
        </w:tc>
        <w:tc>
          <w:tcPr>
            <w:tcW w:type="dxa" w:w="3213"/>
          </w:tcPr>
          <w:p>
            <w:r>
              <w:t>Projedeki rolü</w:t>
            </w:r>
          </w:p>
        </w:tc>
      </w:tr>
      <w:tr>
        <w:tc>
          <w:tcPr>
            <w:tcW w:type="dxa" w:w="3213"/>
          </w:tcPr>
          <w:p>
            <w:r>
              <w:t>Crawler ve makale edinimi</w:t>
            </w:r>
          </w:p>
        </w:tc>
        <w:tc>
          <w:tcPr>
            <w:tcW w:type="dxa" w:w="3213"/>
          </w:tcPr>
          <w:p>
            <w:r>
              <w:t>Çok kaynaklı arama, çok aşamalı eleme, EN/TR iş akışları, DergiPark desteği, PDF doğrulama</w:t>
            </w:r>
          </w:p>
        </w:tc>
        <w:tc>
          <w:tcPr>
            <w:tcW w:type="dxa" w:w="3213"/>
          </w:tcPr>
          <w:p>
            <w:r>
              <w:t>Annotator kuyruğuna daha seçilmiş ve izlenebilir makaleler taşır</w:t>
            </w:r>
          </w:p>
        </w:tc>
      </w:tr>
      <w:tr>
        <w:tc>
          <w:tcPr>
            <w:tcW w:type="dxa" w:w="3213"/>
          </w:tcPr>
          <w:p>
            <w:r>
              <w:t>Backend ve veri modeli</w:t>
            </w:r>
          </w:p>
        </w:tc>
        <w:tc>
          <w:tcPr>
            <w:tcW w:type="dxa" w:w="3213"/>
          </w:tcPr>
          <w:p>
            <w:r>
              <w:t>Ortak veritabanı şeması, arama kanıtı kayıtları, anotasyon tabloları, RLS politikaları</w:t>
            </w:r>
          </w:p>
        </w:tc>
        <w:tc>
          <w:tcPr>
            <w:tcW w:type="dxa" w:w="3213"/>
          </w:tcPr>
          <w:p>
            <w:r>
              <w:t>UI, crawler ve geri besleme katmanını aynı veri sözleşmesi üzerinde birleştirir</w:t>
            </w:r>
          </w:p>
        </w:tc>
      </w:tr>
      <w:tr>
        <w:tc>
          <w:tcPr>
            <w:tcW w:type="dxa" w:w="3213"/>
          </w:tcPr>
          <w:p>
            <w:r>
              <w:t>Annotator ve kullanıcı iş akışı</w:t>
            </w:r>
          </w:p>
        </w:tc>
        <w:tc>
          <w:tcPr>
            <w:tcW w:type="dxa" w:w="3213"/>
          </w:tcPr>
          <w:p>
            <w:r>
              <w:t>PDF görüntüleme, highlight destekli veri girişi, dinamik food/nutrient formu, test mode, global skip</w:t>
            </w:r>
          </w:p>
        </w:tc>
        <w:tc>
          <w:tcPr>
            <w:tcW w:type="dxa" w:w="3213"/>
          </w:tcPr>
          <w:p>
            <w:r>
              <w:t>Uzman kullanıcının belge üzerinde kontrollü ve hızlı çalışmasını sağlar</w:t>
            </w:r>
          </w:p>
        </w:tc>
      </w:tr>
      <w:tr>
        <w:tc>
          <w:tcPr>
            <w:tcW w:type="dxa" w:w="3213"/>
          </w:tcPr>
          <w:p>
            <w:r>
              <w:t>Öğrenen geri besleme döngüsü</w:t>
            </w:r>
          </w:p>
        </w:tc>
        <w:tc>
          <w:tcPr>
            <w:tcW w:type="dxa" w:w="3213"/>
          </w:tcPr>
          <w:p>
            <w:r>
              <w:t>Event kaydı, global label kayıtları, geri besleme terimleri, query-batch sinyalleri</w:t>
            </w:r>
          </w:p>
        </w:tc>
        <w:tc>
          <w:tcPr>
            <w:tcW w:type="dxa" w:w="3213"/>
          </w:tcPr>
          <w:p>
            <w:r>
              <w:t>Kullanıcı kararlarını daha sonraki arama ve sıralamayı iyileştiren sinyallere dönüştürür</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Arasınav çıktısı çalışan bir temel veri akışıdır. Makale edinimi, anotasyon kaydı ve geri besleme zinciri aynı altyapıda birleşmiştir.</w:t>
      </w:r>
    </w:p>
    <w:p>
      <w:r>
        <w:br w:type="page"/>
      </w:r>
    </w:p>
    <w:p>
      <w:pPr>
        <w:pStyle w:val="Heading1"/>
      </w:pPr>
      <w:r>
        <w:t>PROJENİN AMACI ve ÖNEMİ</w:t>
      </w:r>
    </w:p>
    <w:p>
      <w:pPr>
        <w:pStyle w:val="Heading2"/>
      </w:pPr>
      <w:r>
        <w:t>Projenin Amacı</w:t>
      </w:r>
    </w:p>
    <w:p>
      <w:r>
        <w:t>OpenNutri'nin amacı, bilimsel literatürde dağınık halde bulunan gıda bileşimi verilerini kaynak bağlantısını koruyarak yapısal veriye dönüştüren bir platform kurmaktır. Bu amaç için proje üç temel yetenek kurmaktadır: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aşamasındaki odak, bu yapının çekirdek sürümünü ayağa kaldırmaktır. Mevcut çalışma; literatür tarama, uzman anotasyon, ortak veri modeli ve geri besleme zincirini aynı sistem içinde çalışır hale getirmektedir.</w:t>
      </w:r>
    </w:p>
    <w:p>
      <w:pPr>
        <w:pStyle w:val="Heading2"/>
      </w:pPr>
      <w:r>
        <w:t>Projenin Önemi</w:t>
      </w:r>
    </w:p>
    <w:p>
      <w:r>
        <w:t>Bu projenin önemi, gıda bileşimi bilgisinin binlerce PDF içinde dağınık halde kalmasından doğar. Bilimsel veri vardır; fakat doğrudan sorgulanabilir, karşılaştırılabilir ve yeniden kullanılabilir kayıtlar halinde değildir. OpenNutri bu boşluğu, kaynak bağlantısını koruyan yapısal kayıtlar üreterek hedeflemektedir.</w:t>
      </w:r>
    </w:p>
    <w:p>
      <w:r>
        <w:t>Bu ihtiyaç Türkçe literatürde daha belirgindir. Türkiye'de yayımlanan birçok çalışma DergiPark ve benzeri arşivlerde bulunur; ancak bu çalışmaların verileri uluslararası standart veri tabanlarına düzenli biçimde girmez. Sonuç olarak yerel ürünler, yerel çeşitler ve Türkçe yayınlar dijital görünürlük kaybeder. EN/TR iş akışlarının ayrılması bu nedenle doğrudan kapsam belirleyen bir karardır.</w:t>
      </w:r>
    </w:p>
    <w:p>
      <w:r>
        <w:t>Projenin ikinci önemli yönü uzman zamanını korumasıdır. Uzman anotasyonu pahalı ve sınırlı bir kaynaktır. Bu nedenle OpenNutri makale bulma, ön eleme, PDF doğrulama ve kullanıcı geri beslemesini aynı zincirde birleştirir. Uzman kullanıcıya daha güçlü adaylar gelir; kullanıcı kararları da bir sonraki koşulda makale seçimini iyileştirir.</w:t>
      </w:r>
    </w:p>
    <w:p>
      <w:r>
        <w:t>Uzun vadede bu yaklaşım araştırmacılar, sağlık teknolojileri, kamu kurumları ve ihracat odaklı üreticiler için yerli veri altyapısı oluşturabilir. Arasınav itibarıyla bu hedefin teknik zemini kurulmuştur.</w:t>
      </w:r>
    </w:p>
    <w:p>
      <w:r>
        <w:br w:type="page"/>
      </w:r>
    </w:p>
    <w:p>
      <w:pPr>
        <w:pStyle w:val="Heading1"/>
      </w:pPr>
      <w:r>
        <w:t>KAYNAK ARAŞTIRMASI</w:t>
      </w:r>
    </w:p>
    <w:p>
      <w:r>
        <w:t>Kaynak araştırmasında hem gıda verisi standartları hem de bilimsel makale işleme araçları birlikte incelenmiştir. Akademik makalelerin yanında veri tabanları, açık erişim arşivleri, ontolojiler ve kullanılan yazılım ekosistemi değerlendirilmiştir.</w:t>
      </w:r>
    </w:p>
    <w:p>
      <w:pPr>
        <w:pStyle w:val="Heading2"/>
      </w:pPr>
      <w:r>
        <w:t>1. Gıda verisi ve referans sözlükleri</w:t>
      </w:r>
    </w:p>
    <w:p>
      <w:r>
        <w:t>OpenNutri'nin veri modeli serbest metin etiketleri yerine ortak sözlük mantığı üzerine kurulmuştur. FoodData Central [1] ve FAO/INFOODS eşleme yaklaşımı [2] incelenerek canonical food ve canonical nutrient kavramları ayrı tablolar halinde modellenmiştir. Böylece kullanıcı arayüzündeki seçimler ve crawler terim üretimi aynı sözlüğe bağlanmıştır.</w:t>
      </w:r>
    </w:p>
    <w:p>
      <w:r>
        <w:t xml:space="preserve">FoodOn [3] gibi ontoloji tabanlı çalışmalar gıda adlarının standartlaştırılması açısından önemlidir. </w:t>
      </w:r>
      <w:r>
        <w:rPr>
          <w:rFonts w:ascii="Courier New" w:hAnsi="Courier New" w:eastAsia="Courier New"/>
        </w:rPr>
        <w:t>entities</w:t>
      </w:r>
      <w:r>
        <w:t xml:space="preserve"> ve </w:t>
      </w:r>
      <w:r>
        <w:rPr>
          <w:rFonts w:ascii="Courier New" w:hAnsi="Courier New" w:eastAsia="Courier New"/>
        </w:rPr>
        <w:t>entity_aliases</w:t>
      </w:r>
      <w:r>
        <w:t xml:space="preserve"> yapısı da aynı standardizasyon ihtiyacına göre seçilmiştir.</w:t>
      </w:r>
    </w:p>
    <w:p>
      <w:pPr>
        <w:pStyle w:val="Heading2"/>
      </w:pPr>
      <w:r>
        <w:t>2. Bilimsel literatür kaynakları</w:t>
      </w:r>
    </w:p>
    <w:p>
      <w:r>
        <w:t>PubMed Central [4] ve Europe PMC [5], açık erişimli biyomedikal ve yaşam bilimleri literatürüne düzenli erişim sağladıkları için crawler hattının temel dış kaynakları olarak değerlendirilmiştir. DergiPark [6] ise özellikle Türkçe çalışmalara ulaşmak amacıyla projeye dahil edilmiştir. Arasınav döneminde DergiPark entegrasyonu basit bir genel arama mantığından çıkarılıp dergi-sayı-makale düzeyinde yenilenebilir yerel indeks mantığına taşınmıştır. Bu değişiklik, Türkçe kaynakların daha kontrollü taranmasını sağlamıştır.</w:t>
      </w:r>
    </w:p>
    <w:p>
      <w:pPr>
        <w:pStyle w:val="Heading2"/>
      </w:pPr>
      <w:r>
        <w:t>3. İnsan-döngülü öğrenme yaklaşımı</w:t>
      </w:r>
    </w:p>
    <w:p>
      <w:r>
        <w:t xml:space="preserve">Human-in-the-loop yaklaşımı [7], bilimsel verilerin çıkarımı ve doğrulanmasında uzman kullanıcıyı sistemin aktif parçası olarak konumlandırır. OpenNutri'de bu yaklaşım annotator arayüzü ve </w:t>
      </w:r>
      <w:r>
        <w:rPr>
          <w:rFonts w:ascii="Courier New" w:hAnsi="Courier New" w:eastAsia="Courier New"/>
        </w:rPr>
        <w:t>paper_label_events</w:t>
      </w:r>
      <w:r>
        <w:t xml:space="preserve"> üzerinden uygulanmıştır. Kullanıcıların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ve global </w:t>
      </w:r>
      <w:r>
        <w:rPr>
          <w:rFonts w:ascii="Courier New" w:hAnsi="Courier New" w:eastAsia="Courier New"/>
        </w:rPr>
        <w:t>definitely_no_data</w:t>
      </w:r>
      <w:r>
        <w:t xml:space="preserve"> işlemleri doğrudan crawler geri beslemesine dönüşmektedir.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Nutrient highlight özelliği için PDF metin katmanındaki parçalanmış span yapısını tarayan ek mantık geliştirilmiştir.</w:t>
      </w:r>
    </w:p>
    <w:p>
      <w:pPr>
        <w:pStyle w:val="Heading2"/>
      </w:pPr>
      <w:r>
        <w:t>5. Kullanılan platform bileşenleri</w:t>
      </w:r>
    </w:p>
    <w:p>
      <w:r>
        <w:t>Supabase [10], kimlik doğrulama, satır düzeyi erişim kontrolü, dosya depolama ve istemci erişimini tek altyapıda birleştirdiği için seçilmiştir. Arasınav itibarıyla annotator ve veri boru hattı aynı backend katmanını paylaşmaktadır.</w:t>
      </w:r>
    </w:p>
    <w:p>
      <w:r>
        <w:t>Bu literatür ve platform incelemesi, projede ortak sözlük kullanımı, çok kaynaklı erişim, PDF üzerinde uzman anotasyonu ve insan-döngülü doğrulama yaklaşımının neden gerekli olduğunu göstermektedir.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Arasınav sürümünde sistemi belirleyen dört mühendislik tercihi vardır: makale bulma ile PDF edinimini ayırmak, ortak sözlük ve ortak veritabanı kullanmak, anotasyonu dinamik satır modeliyle kurmak ve kullanıcı kararlarını event tabanlı geri besleme olarak saklamak. Aşağıdaki alt bölümler bu tercihlerin nasıl uygulandığını özetlemektedir.</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Projede kullanılan temel materyaller aşağıdaki gibidir:</w:t>
      </w:r>
    </w:p>
    <w:p>
      <w:pPr>
        <w:pStyle w:val="ListBullet"/>
      </w:pPr>
      <w:r>
        <w:rPr>
          <w:b/>
        </w:rPr>
        <w:t>Frontend çerçevesi:</w:t>
      </w:r>
      <w:r>
        <w:t xml:space="preserve"> React 19 + Vite</w:t>
      </w:r>
    </w:p>
    <w:p>
      <w:pPr>
        <w:pStyle w:val="ListBullet"/>
      </w:pPr>
      <w:r>
        <w:rPr>
          <w:b/>
        </w:rPr>
        <w:t>Backend ve depolama:</w:t>
      </w:r>
      <w:r>
        <w:t xml:space="preserve"> Supabase Auth, PostgreSQL, Storage</w:t>
      </w:r>
    </w:p>
    <w:p>
      <w:pPr>
        <w:pStyle w:val="ListBullet"/>
      </w:pPr>
      <w:r>
        <w:rPr>
          <w:b/>
        </w:rPr>
        <w:t>PDF işleme:</w:t>
      </w:r>
      <w:r>
        <w:t xml:space="preserve"> </w:t>
      </w:r>
      <w:r>
        <w:rPr>
          <w:rFonts w:ascii="Courier New" w:hAnsi="Courier New" w:eastAsia="Courier New"/>
        </w:rPr>
        <w:t>react-pdf</w:t>
      </w:r>
      <w:r>
        <w:t xml:space="preserve"> ve PDF.js</w:t>
      </w:r>
    </w:p>
    <w:p>
      <w:pPr>
        <w:pStyle w:val="ListBullet"/>
      </w:pPr>
      <w:r>
        <w:rPr>
          <w:b/>
        </w:rPr>
        <w:t>Veri boru hattı dili:</w:t>
      </w:r>
      <w:r>
        <w:t xml:space="preserve"> Python</w:t>
      </w:r>
    </w:p>
    <w:p>
      <w:pPr>
        <w:pStyle w:val="ListBullet"/>
      </w:pPr>
      <w:r>
        <w:rPr>
          <w:b/>
        </w:rPr>
        <w:t>Referans veri kaynağı:</w:t>
      </w:r>
      <w:r>
        <w:t xml:space="preserve"> USDA FoodData Central [1]</w:t>
      </w:r>
    </w:p>
    <w:p>
      <w:pPr>
        <w:pStyle w:val="ListBullet"/>
      </w:pPr>
      <w:r>
        <w:rPr>
          <w:b/>
        </w:rPr>
        <w:t>Makale kaynakları:</w:t>
      </w:r>
      <w:r>
        <w:t xml:space="preserve"> Europe PMC [5], PubMed Central [4], OpenAlex, Semantic Scholar, DergiPark [6]</w:t>
      </w:r>
    </w:p>
    <w:p>
      <w:pPr>
        <w:pStyle w:val="ListBullet"/>
      </w:pPr>
      <w:r>
        <w:rPr>
          <w:b/>
        </w:rPr>
        <w:t>Embedding katmanı:</w:t>
      </w:r>
      <w:r>
        <w:t xml:space="preserve"> </w:t>
      </w:r>
      <w:r>
        <w:rPr>
          <w:rFonts w:ascii="Courier New" w:hAnsi="Courier New" w:eastAsia="Courier New"/>
        </w:rPr>
        <w:t>sentence-transformers</w:t>
      </w:r>
      <w:r>
        <w:t xml:space="preserve"> tabanlı İngilizce + çok dilli ikili gömme yapısı</w:t>
      </w:r>
    </w:p>
    <w:p>
      <w:r>
        <w:t>Bu bileşenler, gereksinimlere göre iki tarafta kullanılmıştır: kullanıcı iş akışını yöneten web uygulaması ve makale havuzunu besleyen veri boru hattı.</w:t>
      </w:r>
    </w:p>
    <w:p>
      <w:pPr>
        <w:pStyle w:val="Heading2"/>
      </w:pPr>
      <w:r>
        <w:t>3. Backend ve veri modeli yöntemi</w:t>
      </w:r>
    </w:p>
    <w:p>
      <w:r>
        <w:t>Backend tarafındaki temel karar, tüm sistemi tek bir ortak veri modeli etrafında toplamak olmuştur. Bu model dört ana parçadan oluşur: ortak gıda ve nutrient sözlüğü, sisteme alınan makaleler ve arama kanıtları, uzman anotasyon verisi ve kullanıcı kararlarını geri besleme olarak saklayan olay kayıtları.</w:t>
      </w:r>
    </w:p>
    <w:p>
      <w:r>
        <w:t>Bu yapı arayüzü, crawler'ı ve geri besleme mantığını aynı veri modeli üzerinde birleştirir. Kullanıcı arayüzünde seçilen gıda ve nutrient adları ile crawler tarafında kullanılan terimler aynı referans sözlüğe dayanır. Bir makalenin sisteme giriş kaydı ile kullanıcı anotasyonları da aynı makale kaydı etrafında tutulur.</w:t>
      </w:r>
    </w:p>
    <w:p>
      <w:r>
        <w:t xml:space="preserve">Şekil 3, canlı Supabase yapısının kod içindeki kaynak karşılığı olan </w:t>
      </w:r>
      <w:r>
        <w:rPr>
          <w:rFonts w:ascii="Courier New" w:hAnsi="Courier New" w:eastAsia="Courier New"/>
        </w:rPr>
        <w:t>apps/expert-annotator/migration.sql</w:t>
      </w:r>
      <w:r>
        <w:t xml:space="preserve"> temel alınarak hazırlanmış, sadeleştirilmiş bir veritabanı özeti sunmaktadır.</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png"/>
                    <pic:cNvPicPr/>
                  </pic:nvPicPr>
                  <pic:blipFill>
                    <a:blip r:embed="rId11"/>
                    <a:stretch>
                      <a:fillRect/>
                    </a:stretch>
                  </pic:blipFill>
                  <pic:spPr>
                    <a:xfrm>
                      <a:off x="0" y="0"/>
                      <a:ext cx="5669280" cy="3342252"/>
                    </a:xfrm>
                    <a:prstGeom prst="rect"/>
                  </pic:spPr>
                </pic:pic>
              </a:graphicData>
            </a:graphic>
          </wp:inline>
        </w:drawing>
      </w:r>
    </w:p>
    <w:p>
      <w:r>
        <w:t xml:space="preserve">Şekil 3. Arasınav sürümündeki temel veritabanı yapısının, projeyi anlamayı kolaylaştıracak dört sorumluluk alanı altında özetlenmiş görünümü. Şema, </w:t>
      </w:r>
      <w:r>
        <w:rPr>
          <w:rFonts w:ascii="Courier New" w:hAnsi="Courier New" w:eastAsia="Courier New"/>
        </w:rPr>
        <w:t>migration.sql</w:t>
      </w:r>
      <w:r>
        <w:t xml:space="preserve"> üzerinden sadeleştirilerek hazırlanmıştır.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Annotator arayüzü, uzman kullanıcının bir makaleyi okuyup aynı anda yapılandırılmış veri girebildiği çalışma ekranı olarak tasarlanmıştır. Kullanıcı sisteme alınmış makaleyi açar, varsa önceki kaydını görür ve çalışmasına kaldığı yerden devam eder.</w:t>
      </w:r>
    </w:p>
    <w:p>
      <w:r>
        <w:t>Arayüz iki ana prensiple tasarlanmıştır. Kullanıcı gerektiği kadar food item ve her food item altında gerektiği kadar nutrient değeri ekleyebilir. PDF görüntüleme ile form aynı çalışma ekranında birleşir; kullanıcı belgeyi okurken ilgili nutrient ifadelerini görüp daha hızlı veri girişi yapabilir. Bu yapı uzman kullanıcıya belge üzerinden doğrulama yapan aktif bir rol verir.</w:t>
      </w:r>
    </w:p>
    <w:p>
      <w:r>
        <w:t>Bu bölümde özellikle üç davranış önemlidir:</w:t>
      </w:r>
    </w:p>
    <w:p>
      <w:pPr>
        <w:pStyle w:val="ListBullet"/>
      </w:pPr>
      <w:r>
        <w:t>test mode ile gerçek veritabanına yazmadan güvenli deneme yapılabilmesi,</w:t>
      </w:r>
    </w:p>
    <w:p>
      <w:pPr>
        <w:pStyle w:val="ListBullet"/>
      </w:pPr>
      <w:r>
        <w:t>global "definitely no data" işaretleme ve kısa süreli geri alma akışı,</w:t>
      </w:r>
    </w:p>
    <w:p>
      <w:pPr>
        <w:pStyle w:val="ListBullet"/>
      </w:pPr>
      <w:r>
        <w:t xml:space="preserve">boş placeholder kartların </w:t>
      </w:r>
      <w:r>
        <w:rPr>
          <w:rFonts w:ascii="Courier New" w:hAnsi="Courier New" w:eastAsia="Courier New"/>
        </w:rPr>
        <w:t>food_item_count</w:t>
      </w:r>
      <w:r>
        <w:t xml:space="preserve"> değerini şişirmesini önlemek için geçerli food item'ların sayılması.</w:t>
      </w:r>
    </w:p>
    <w:p>
      <w:r>
        <w:t>Şekil 4, crawler hattının aşamalı akışından üretilen sayısal özeti göstermektedir.</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png"/>
                    <pic:cNvPicPr/>
                  </pic:nvPicPr>
                  <pic:blipFill>
                    <a:blip r:embed="rId12"/>
                    <a:stretch>
                      <a:fillRect/>
                    </a:stretch>
                  </pic:blipFill>
                  <pic:spPr>
                    <a:xfrm>
                      <a:off x="0" y="0"/>
                      <a:ext cx="5669280" cy="3099168"/>
                    </a:xfrm>
                    <a:prstGeom prst="rect"/>
                  </pic:spPr>
                </pic:pic>
              </a:graphicData>
            </a:graphic>
          </wp:inline>
        </w:drawing>
      </w:r>
    </w:p>
    <w:p>
      <w:r>
        <w:t>Şekil 4. Temsili bir Türkçe canlı koşunun manifest özetinden türetilen aşama sayıları.</w:t>
      </w:r>
    </w:p>
    <w:p>
      <w:r>
        <w:t>Şekil 5, annotator ekran görüntüsü için yer tutucudur.</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png"/>
                    <pic:cNvPicPr/>
                  </pic:nvPicPr>
                  <pic:blipFill>
                    <a:blip r:embed="rId13"/>
                    <a:stretch>
                      <a:fillRect/>
                    </a:stretch>
                  </pic:blipFill>
                  <pic:spPr>
                    <a:xfrm>
                      <a:off x="0" y="0"/>
                      <a:ext cx="5669280" cy="3130743"/>
                    </a:xfrm>
                    <a:prstGeom prst="rect"/>
                  </pic:spPr>
                </pic:pic>
              </a:graphicData>
            </a:graphic>
          </wp:inline>
        </w:drawing>
      </w:r>
    </w:p>
    <w:p>
      <w:r>
        <w:t xml:space="preserve">Şekil 5. Nihai teslimden önce bu görsel, çalışan annotator ekranının gerçek ekran görüntüsü ile değiştirilmelidir. En pratik yol, </w:t>
      </w:r>
      <w:r>
        <w:rPr>
          <w:rFonts w:ascii="Courier New" w:hAnsi="Courier New" w:eastAsia="Courier New"/>
        </w:rPr>
        <w:t>docs/defense/assets/figure_5_annotator_placeholder.png</w:t>
      </w:r>
      <w:r>
        <w:t xml:space="preserve"> dosyasını gerçek ekran görüntüsü ile aynı ad altında değiştirip export betiğini yeniden çalıştırmaktır. Görselde PDF viewer, vurgulanmış nutrient örneği, food item formu ve ilerleme alanı aynı karede görünmelidir.</w:t>
      </w:r>
    </w:p>
    <w:p>
      <w:pPr>
        <w:pStyle w:val="Heading2"/>
      </w:pPr>
      <w:r>
        <w:t>5. Crawler, filtreleme ve edinme yöntemi</w:t>
      </w:r>
    </w:p>
    <w:p>
      <w:r>
        <w:t>Crawler tarafı kademeli seçim yapan bir boru hattı olarak tasarlanmıştır. Temel yaklaşım üç aşamadan oluşur: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search gate ve metadata filter uygulama</w:t>
      </w:r>
    </w:p>
    <w:p>
      <w:pPr>
        <w:pStyle w:val="ListBullet"/>
      </w:pPr>
      <w:r>
        <w:rPr>
          <w:b/>
        </w:rPr>
        <w:t>Acquisition:</w:t>
      </w:r>
      <w:r>
        <w:t xml:space="preserve"> Ancak yeterince iyi bulunan adaylar için PDF indirme ve tam metin doğrulama</w:t>
      </w:r>
    </w:p>
    <w:p>
      <w:r>
        <w:t>Bu ayrım, crawler tarafındaki en kritik verimlilik kararlarından biridir. Tüm adayların PDF'ini indirmek yerine önce metadata düzeyinde ön eleme yapılır. Böylece tam metin aşamasına daha az sayıda ama daha güçlü aday geçer.</w:t>
      </w:r>
    </w:p>
    <w:p>
      <w:r>
        <w:t>Filtreleme mantığı üç ana sinyal grubuna dayanır: konu ile ilişkili kelime ve birim ipuçları, semantik benzerlik/embedding uygunluğu ve önceki kullanıcı etiketlerinden öğrenilen geri besleme sinyalleri.</w:t>
      </w:r>
    </w:p>
    <w:p>
      <w:r>
        <w:t>Crawler tarafında iki yetenek belirleyicidir: İngilizce ve Türkçe literatür için ayrı hedef havuzların yönetilmesi ve geri beslemenin sorgu partileri düzeyinde de değerlendirilmesi.</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rPr>
          <w:rFonts w:ascii="Courier New" w:hAnsi="Courier New" w:eastAsia="Courier New"/>
        </w:rPr>
        <w:t>feedback/update_terms.py</w:t>
      </w:r>
      <w:r>
        <w:t xml:space="preserve"> betiği, kullanıcı olaylarından öğretici sinyaller üretir. Anlamlı veri kaydedilen makaleler olumlu örnek, açık biçimde veri içermeyen veya tekrarlı biçimde atlanan makaleler olumsuz örnek olarak değerlendirilir. Çelişkili durumlar öğrenme dışında bırakılır.</w:t>
      </w:r>
    </w:p>
    <w:p>
      <w:r>
        <w:t>Sistemin ayırt edici mimari fikri burada ortaya çıkar. Kullanıcı kararı yalnızca saklanan bir sonuç değildir; sonraki crawler koşularında kullanılan yumuşak puanlama sinyalidir.</w:t>
      </w:r>
    </w:p>
    <w:p>
      <w:r>
        <w:t xml:space="preserve">Son kullanıcıya yeterli makale kalmadığında </w:t>
      </w:r>
      <w:r>
        <w:rPr>
          <w:rFonts w:ascii="Courier New" w:hAnsi="Courier New" w:eastAsia="Courier New"/>
        </w:rPr>
        <w:t>ensure_paper_stock.py</w:t>
      </w:r>
      <w:r>
        <w:t xml:space="preserve">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Mevcut sınırlar</w:t>
      </w:r>
    </w:p>
    <w:p>
      <w:r>
        <w:t>Bu rapor, çalışan ilk üç dönem hedefi ile onları destekleyen veri ve geri besleme altyapısına odaklanmaktadır. Belge segmentasyonu ve LLM tabanlı çıkarım süreci sonraki aşamanın konusudur.</w:t>
      </w:r>
    </w:p>
    <w:p>
      <w:r>
        <w:t>Annotator ekran görüntüsü bu raporda yer tutucu olarak bırakılmıştır. Nihai teslimden önce en güncel arayüz görüntüsü eklenmelidir.</w:t>
      </w:r>
    </w:p>
    <w:p>
      <w:r>
        <w:br w:type="page"/>
      </w:r>
    </w:p>
    <w:p>
      <w:pPr>
        <w:pStyle w:val="Heading1"/>
      </w:pPr>
      <w:r>
        <w:t>KAYNAKLAR</w:t>
      </w:r>
    </w:p>
    <w:p>
      <w:pPr>
        <w:pStyle w:val="ListNumber"/>
      </w:pPr>
      <w:r>
        <w:t>U.S. Department of Agriculture. FoodData Central. https://fdc.nal.usda.gov/</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https://pmc.ncbi.nlm.nih.gov/</w:t>
      </w:r>
    </w:p>
    <w:p>
      <w:pPr>
        <w:pStyle w:val="ListNumber"/>
      </w:pPr>
      <w:r>
        <w:t>Europe PMC. https://europepmc.org/</w:t>
      </w:r>
    </w:p>
    <w:p>
      <w:pPr>
        <w:pStyle w:val="ListNumber"/>
      </w:pPr>
      <w:r>
        <w:t>DergiPark Akademik. https://dergipark.org.tr/</w:t>
      </w:r>
    </w:p>
    <w:p>
      <w:pPr>
        <w:pStyle w:val="ListNumber"/>
      </w:pPr>
      <w:r>
        <w:t>Monarch RM. *Human-in-the-Loop Machine Learning*. Manning Publications; 2021.</w:t>
      </w:r>
    </w:p>
    <w:p>
      <w:pPr>
        <w:pStyle w:val="ListNumber"/>
      </w:pPr>
      <w:r>
        <w:t>Mozilla. PDF.js. https://mozilla.github.io/pdf.js/</w:t>
      </w:r>
    </w:p>
    <w:p>
      <w:pPr>
        <w:pStyle w:val="ListNumber"/>
      </w:pPr>
      <w:r>
        <w:t>React Documentation. https://react.dev/</w:t>
      </w:r>
    </w:p>
    <w:p>
      <w:pPr>
        <w:pStyle w:val="ListNumber"/>
      </w:pPr>
      <w:r>
        <w:t>Supabase Documentation. https://supabase.com/docs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