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Hedeflenen &lt;$0,01 maliyet, bir makaleyi tek başına güçlü bir ticari modelle işlemeye kıyasla bir büyüklük mertebesi (≈10 kat veya daha fazla) daha düşüktür; sürekli güncellenen ulusal ölçekli bir veri tabanını ekonomik olarak sürdürülebilir kılan da bu düşüştür.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ticari API aboneliği, toplu veri/lisans) ve yıllık tekrarlayan işletme maliyetini karşılamak yalnızca birkaç orta ölçekli kurumsal abonelik gerektirdiğinden başabaş düşük bir müşteri sayısında ulaşılır. Personel, satış, destek ve donanım amortismanını içeren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≥%50 maliyet düşüşü hedefi;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birden çok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