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OpenNutri'nin çalışan çekirdeği kurulmuştur. Crawler, Europe PMC, OpenAlex, Semantic Scholar ve DergiPark kaynaklarından metadata toplar; adayları aşamalı uygunluk kontrolünden geçirir; yeterli bulunan PDF dosyalarını Supabase katmanına aktarır. Annotator arayüzü bu makaleleri PDF üzerinde açar, food item ve nutrient girdilerini kaydeder ve kullanıcı kararlarını sonraki taramaları etkileyen geri besleme sinyallerine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özellikle görünürdür. Türkiye'de yayımlanan birçok çalışma DergiPark ve benzeri arşivlerde bulunur; ancak bu çalışmaların verileri uluslararası standart veri tabanlarına düzenli biçimde girmez. Sonuç olarak yerel ürünler, yerel çeşitler ve Türkçe yayınlar bu sistemlerde yeterince temsil edilmez.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tablolarda ele alınmıştır. Bu yaklaşım, anotasyon ve literatür tarama süreçlerinde ortak bir sözlük kullanımını desteklemektedir.</w:t>
      </w:r>
    </w:p>
    <w:p>
      <w:r>
        <w:t>FoodOn [3] gibi ontoloji tabanlı çalışmalar gıda adlarının standartlaştırılması açısından önemlidir. Bu tür ontolojiler, farklı kaynaklarda geçen gıda adlarını ortak kavramlar altında toplama ihtiyacını açık biçimde göstermektedir.</w:t>
      </w:r>
    </w:p>
    <w:p>
      <w:pPr>
        <w:pStyle w:val="Heading2"/>
      </w:pPr>
      <w:r>
        <w:t>2. Bilimsel literatür kaynakları</w:t>
      </w:r>
    </w:p>
    <w:p>
      <w:r>
        <w:t>PubMed Central [4] ve Europe PMC [5], açık erişimli biyomedikal ve yaşam bilimleri literatürüne düzenli erişim sağladıkları için temel dış kaynaklar olarak değerlendirilmiştir. DergiPark [6] ise özellikle Türkçe çalışmalara ulaşmak açısından önemlidir. Bu kaynakların birlikte değerlendirilmesi, uluslararası ve yerel literatürün aynı sistem içinde ama farklı sinyallerle ele alınması gereğini göstermektedir.</w:t>
      </w:r>
    </w:p>
    <w:p>
      <w:pPr>
        <w:pStyle w:val="Heading2"/>
      </w:pPr>
      <w:r>
        <w:t>3. İnsan-döngülü öğrenme yaklaşımı</w:t>
      </w:r>
    </w:p>
    <w:p>
      <w:r>
        <w:t>Human-in-the-loop yaklaşımı [7], bilimsel verilerin çıkarımı ve doğrulanmasında uzman kullanıcıyı sistemin aktif parçası olarak konumlandırır. Bu yaklaşım, uzman kararlarının yalnızca son etiket olarak değil, daha sonra yeniden kullanılabilecek geri besleme sinyalleri olarak ele alınmasını desteklemektedir.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Literatür anotasyonu bağlamında, PDF metin katmanındaki parçalanmış span yapısı nedeniyle yalnızca görüntüleme değil; seçim, vurgulama ve metin eşleme davranışları da önem kazanmaktadır.</w:t>
      </w:r>
    </w:p>
    <w:p>
      <w:pPr>
        <w:pStyle w:val="Heading2"/>
      </w:pPr>
      <w:r>
        <w:t>5. Kullanılan platform bileşenleri</w:t>
      </w:r>
    </w:p>
    <w:p>
      <w:r>
        <w:t>Supabase [10], kimlik doğrulama, satır düzeyi erişim kontrolü, dosya depolama ve istemci erişimini tek altyapıda birleştirdiği için değerlendirilmiştir. Bu tür platformlar, arayüz ve veri boru hattının aynı backend üzerinde çalıştığı sistemler için uygun temel sağlar.</w:t>
      </w:r>
    </w:p>
    <w:p>
      <w:r>
        <w:t>Bu literatür ve platform incelemesi, ortak sözlük kullanımı, çok kaynaklı erişim, PDF üzerinde uzman anotasyonu ve insan-döngülü doğrulama yaklaşımının problem alanı için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olay tabanlı geri besleme olarak saklamak. Aşağıdaki alt bölümler bu tercihlerin nasıl uygulandığını açıklamaktadır.</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Arasınav sistemi iki bağlı teknik küme üzerine kuruludur. Kullanıcı tarafında React 19 + Vite tabanlı web arayüzü, PDF.js ve react-pdf ile birlikte kullanılmış; böylece PDF görüntüleme, highlight ve form temelli anotasyon aynı çalışma ekranında toplanmıştır. Backend tarafında Supabase'in kimlik doğrulama, PostgreSQL ve dosya depolama bileşenleri birlikte değerlendirilmiştir.</w:t>
      </w:r>
    </w:p>
    <w:p>
      <w:r>
        <w:t>Veri edinme ve geri besleme katmanı Python ile yürütülmektedir. Makale kaynakları olarak Europe PMC, PubMed Central, OpenAlex, Semantic Scholar ve DergiPark kullanılmış; referans veri kaynağı olarak USDA FoodData Central [1] seçilmiştir. Metadata düzeyindeki anlamsal uygunluk için sentence-transformers tabanlı İngilizce + çok dilli embedding yapısı tercih edilmiştir.</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 aktif Supabase şemasından türetilmiş, sadeleştirilmiş bir veritabanı özeti sunmaktadır.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aktif Supabase şemasından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rPr>
          <w:rFonts w:ascii="Courier New" w:hAnsi="Courier New" w:eastAsia="Courier New"/>
        </w:rPr>
        <w:t>test mode</w:t>
      </w:r>
      <w:r>
        <w:t xml:space="preserve"> ile gerçek veritabanına yazmadan tam iş akışının güvenli biçimde denenebilmesi,</w:t>
      </w:r>
    </w:p>
    <w:p>
      <w:pPr>
        <w:pStyle w:val="ListBullet"/>
      </w:pPr>
      <w:r>
        <w:rPr>
          <w:rFonts w:ascii="Courier New" w:hAnsi="Courier New" w:eastAsia="Courier New"/>
        </w:rPr>
        <w:t>global skip</w:t>
      </w:r>
      <w:r>
        <w:t xml:space="preserve"> ile bir makalenin tüm kullanıcılar için veri içermediğinin işaretlenmesi ve kısa süreli geri alma akışı,</w:t>
      </w:r>
    </w:p>
    <w:p>
      <w:pPr>
        <w:pStyle w:val="ListBullet"/>
      </w:pPr>
      <w:r>
        <w:t>boş placeholder kartların kaydedilen toplamları etkilemesini önlemek için yalnızca geçerli food item'ların sayılması.</w:t>
      </w:r>
    </w:p>
    <w:p>
      <w:r>
        <w:t>Şekil 4, annotator arayüzünün nihai ekran görüntüsü için yer tutucudur.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png"/>
                    <pic:cNvPicPr/>
                  </pic:nvPicPr>
                  <pic:blipFill>
                    <a:blip r:embed="rId12"/>
                    <a:stretch>
                      <a:fillRect/>
                    </a:stretch>
                  </pic:blipFill>
                  <pic:spPr>
                    <a:xfrm>
                      <a:off x="0" y="0"/>
                      <a:ext cx="5669280" cy="3130743"/>
                    </a:xfrm>
                    <a:prstGeom prst="rect"/>
                  </pic:spPr>
                </pic:pic>
              </a:graphicData>
            </a:graphic>
          </wp:inline>
        </w:drawing>
      </w:r>
    </w:p>
    <w:p>
      <w:r>
        <w:t>Şekil 4. Nihai teslimden önce bu görsel, çalışan annotator ekranının gerçek ekran görüntüsü ile değiştirilmelidir.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w:t>
      </w:r>
      <w:r>
        <w:rPr>
          <w:rFonts w:ascii="Courier New" w:hAnsi="Courier New" w:eastAsia="Courier New"/>
        </w:rPr>
        <w:t>search gate</w:t>
      </w:r>
      <w:r>
        <w:t xml:space="preserve"> olarak adlandırılan ilk uygunluk eşiğini ve </w:t>
      </w:r>
      <w:r>
        <w:rPr>
          <w:rFonts w:ascii="Courier New" w:hAnsi="Courier New" w:eastAsia="Courier New"/>
        </w:rPr>
        <w:t>metadata filter</w:t>
      </w:r>
      <w:r>
        <w:t xml:space="preserve"> olarak adlandırılan ayrıntılı uygunluk süzgecini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 xml:space="preserve">Crawler tarafında iki yetenek belirleyicidir: İngilizce ve Türkçe literatür için ayrı hedef havuzların yönetilmesi ve geri beslemenin </w:t>
      </w:r>
      <w:r>
        <w:rPr>
          <w:rFonts w:ascii="Courier New" w:hAnsi="Courier New" w:eastAsia="Courier New"/>
        </w:rPr>
        <w:t>query batch</w:t>
      </w:r>
      <w:r>
        <w:t>, yani aynı sorgu bileşimiyle yürütülen sınırlı arama partileri düzeyinde de değerlendirilmesi.</w:t>
      </w:r>
    </w:p>
    <w:p>
      <w:r>
        <w:t>Şekil 5, crawler hattının aşamalı akışından üretilen sayısal özeti göstermektedir.</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png"/>
                    <pic:cNvPicPr/>
                  </pic:nvPicPr>
                  <pic:blipFill>
                    <a:blip r:embed="rId13"/>
                    <a:stretch>
                      <a:fillRect/>
                    </a:stretch>
                  </pic:blipFill>
                  <pic:spPr>
                    <a:xfrm>
                      <a:off x="0" y="0"/>
                      <a:ext cx="5669280" cy="3099168"/>
                    </a:xfrm>
                    <a:prstGeom prst="rect"/>
                  </pic:spPr>
                </pic:pic>
              </a:graphicData>
            </a:graphic>
          </wp:inline>
        </w:drawing>
      </w:r>
    </w:p>
    <w:p>
      <w:r>
        <w:t>Şekil 5. Temsili bir Türkçe canlı koşunun manifest özetinden türetilen aşama sayıları.</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t xml:space="preserve">Geri besleme güncelleme betiği, kullanıcı kararlarını zaman sıralı tutan </w:t>
      </w:r>
      <w:r>
        <w:rPr>
          <w:rFonts w:ascii="Courier New" w:hAnsi="Courier New" w:eastAsia="Courier New"/>
        </w:rPr>
        <w:t>event log</w:t>
      </w:r>
      <w:r>
        <w:t xml:space="preserve"> kayıtlarından öğretici sinyaller üretir. Anlamlı veri kaydedilen makaleler olumlu örnek, açık biçimde veri içermeyen veya tekrarlı biçimde atlanan makaleler olumsuz örnek olarak değerlendirilir. Çelişkili durumlar öğrenme dışında bırakılır. Kullanıcı kararı, sonraki crawler koşularında kullanılan yumuşak puanlama sinyalidir.</w:t>
      </w:r>
    </w:p>
    <w:p>
      <w:r>
        <w:t>Son kullanıcıya yeterli makale kalmadığında makale stoğunu yenileyen betik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Arasınav kapsam sınırı</w:t>
      </w:r>
    </w:p>
    <w:p>
      <w:r>
        <w:t>Bu rapor, çalışan ilk üç dönem hedefi ile onları destekleyen veri ve geri besleme altyapısına odaklanmaktadır. Belge segmentasyonu ve LLM tabanlı çıkarım süreci ikinci döneme bırakılmıştır.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