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ve denetlenebilir besin verisi; zorunlu laboratuvar analizinin yerine geçmeyen, ihracatçıların teknik dosya hazırlama, ön değerlendirme ve ürün formülasyonu süreçlerini destekleyen bir referans katmanı.</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(doğrulama hattı yok): Tek model, doğrulama katmanı yok; Proje Sonu Hedefi: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(doğrulama hattı yok): Güven puanlaması yok; Proje Sonu Hedefi: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(doğrulama hattı yok): Sistematik denetim yok; Proje Sonu Hedefi: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(doğrulama hattı yok): Lider ticari LLM tekil kullanımı; Proje Sonu Hedefi: &lt;$0,01</w:t>
            </w:r>
          </w:p>
          <w:p>
            <w:pPr>
              <w:spacing w:after="40" w:before="0" w:line="240" w:lineRule="auto"/>
            </w:pPr>
            <w:r>
              <w:rPr>
                <w:rFonts w:ascii="Arial" w:hAnsi="Arial" w:eastAsia="Arial"/>
                <w:sz w:val="18"/>
              </w:rPr>
              <w:t>Hedef sütunundaki değerler ölçülmüş prototip sonuçları değil, WP4 doğrulama döngülerinde kalibre edilip ölçülecek proje sonu hedefleridir; referans sütunu, doğrulama hattı olmadan tek bir güçlü ticari LLM'nin kullanıldığı temel yaklaşımı temsil eder. Mevcut prototipten elde edilen ön iç gözlemler bu hedeflerin yönünü desteklemektedir: yaklaşık 5.000 makalede ağırlıkları açık çıkarım modeli, kullanılabilir veri içeren makaleleri içermeyenlerden ortalama 0,91'e karşı 0,17 güven puanıyla ayırmakta; işlenen makalelerin yaklaşık %42'si kullanılabilir bileşim verisi vermekte ve bugüne kadar 14.231 ham besin kaydı çıkarılmıştır. Bu sayılar çıkarımın kendi içindeki kalibrasyonunu gösterir; gerçek otomatik onay doğruluğu, henüz uzman referansı (altın standart) oluşmadığından ölçülmemiştir ve WP4'te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L1-L3 hattında işlemek (tarama tarafında bağlayıcı kısıt değildir; bkz. Bölüm 4.6).</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250.000 standartlaştırılmış gıda-besin kaydı üretmek. Bu hedef tek bir çarpanla değil, prototip verisiyle kalibre edilmiş bir verim hunisiyle gerekçelendirilir: mevcut prototipte işlenen makalelerin yaklaşık %42'si kullanılabilir bileşim verisi içermekte ve veri içeren makale başına ortalama ~6,8 kayıt çıkarılmaktadır (işlenen makale başına ~2,85 kayıt). Bu oranlar ≥100.000 makale için yaklaşık 285.000 kayda karşılık gelir; çıkarım yoğunluğu ve tam metin erişimi arttıkça 500.000 kayıt, ulaşılabilir bir üst senaryo olarak izlenir.</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öğesini indekslemek. Özgün öğe kanonik bir kimlik kuralıyla tanımlanır: her öğe (gıda adı + biçim/işleme durumu) ikilisiyle belirlenir; kültivar, marka, numune ve kaynak gibi ayrıntılar yeni öğe değil öznitelik olarak saklanır ve aynı gıda farklı makalelerde geçtiğinde tekilleştirilir. Hedef, tekilleştirme kesinliği ölçütüyle birlikte raporlanır.</w:t>
            </w:r>
          </w:p>
          <w:p>
            <w:pPr>
              <w:spacing w:after="40" w:before="0" w:line="240" w:lineRule="auto"/>
            </w:pPr>
            <w:r>
              <w:rPr>
                <w:rFonts w:ascii="Arial" w:hAnsi="Arial" w:eastAsia="Arial"/>
                <w:sz w:val="18"/>
              </w:rPr>
              <w:t>Bu ölçek hedefleri aynı doğrulama düzeyini ifade etmez: ≥100.000 ilgili makale işlenerek aday/çıkarım havuzuna alınacak; ≥250.000 kayıt, faydalı bileşim verisi içeren alt kümeden otomatik üretilecek; ≥5.000 makale ve ≥25.000 kayıt ise uzman doğrulamalı altın standart bölümünü oluşturacaktır. Veri içeren makale başına ~6,8 kayıt yoğunluğunda, 5.000 makalelik uzman doğrulamalı bölüm rahatlıkla ≥25.000 kayıt verir.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 Özellikle istem (claim) bakımından örtüşme potansiyeli taşıyan patentlerde karşılaştırma, ürünün kullanım amacı yerine bağımsız istemler düzeyinde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tarayıcıları, yapılandırılmamış veriden yapılandırılmış veriye dönüştürme, NLP/OCR, gıda/besin bilgisi ve gıda ontolojisi; nihai kullanım tüketici tavsiyesidir.; OpenNutri ile Farkı: İstem düzeyinde bazı bileşenler (tarayıcı, yapılandırma, ontoloji) örtüşür; ancak OpenNutri bilimsel literatürden DOI/sayfa/tablo kaynaklı 100 g bazlı bileşim kaydı üretir, gıda bilimi doğrulama kademesi (Atwater, kütle dengesi) ve uzman geri bildirimli katmanlar arası öğrenme içerir. Örtüşme, ürün amacı düzeyinde değil bağımsız istemler düzeyinde değerlendirilmeli; resmi karşılaştırma ve tasarım-etrafı analizi TTO/patent vekilince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8"/>
              </w:rPr>
              <w:t>Araştırma soruları ve hipotezler:</w:t>
            </w:r>
            <w:r>
              <w:rPr>
                <w:rFonts w:ascii="Arial" w:hAnsi="Arial" w:eastAsia="Arial"/>
                <w:sz w:val="18"/>
              </w:rPr>
              <w:t xml:space="preserve"> Projenin araştırma niteliği, aşağıdaki yanlışlanabilir hipotezler ve bunlara karşılık önceden tanımlanmış ablasyon çalışmalarıyla sınanır:</w:t>
            </w:r>
          </w:p>
          <w:p>
            <w:pPr>
              <w:spacing w:after="40" w:before="0" w:line="240" w:lineRule="auto"/>
              <w:ind w:left="198" w:hanging="113"/>
            </w:pPr>
            <w:r>
              <w:rPr>
                <w:rFonts w:ascii="Arial" w:hAnsi="Arial" w:eastAsia="Arial"/>
                <w:sz w:val="18"/>
              </w:rPr>
              <w:t xml:space="preserve">• </w:t>
            </w:r>
            <w:r>
              <w:rPr>
                <w:rFonts w:ascii="Arial" w:hAnsi="Arial" w:eastAsia="Arial"/>
                <w:b/>
                <w:sz w:val="18"/>
              </w:rPr>
              <w:t>H1 (öğrenilmiş yönlendirme):</w:t>
            </w:r>
            <w:r>
              <w:rPr>
                <w:rFonts w:ascii="Arial" w:hAnsi="Arial" w:eastAsia="Arial"/>
                <w:sz w:val="18"/>
              </w:rPr>
              <w:t xml:space="preserve"> Öğrenilmiş Yönlendirici, sabit eşikli statik kademeye göre maliyet/doğruluk sınırında daha iyidir — aynı doğrulukta daha düşük maliyet ya da aynı maliyette daha yüksek doğruluk sağlar.</w:t>
            </w:r>
          </w:p>
          <w:p>
            <w:pPr>
              <w:spacing w:after="40" w:before="0" w:line="240" w:lineRule="auto"/>
              <w:ind w:left="198" w:hanging="113"/>
            </w:pPr>
            <w:r>
              <w:rPr>
                <w:rFonts w:ascii="Arial" w:hAnsi="Arial" w:eastAsia="Arial"/>
                <w:sz w:val="18"/>
              </w:rPr>
              <w:t xml:space="preserve">• </w:t>
            </w:r>
            <w:r>
              <w:rPr>
                <w:rFonts w:ascii="Arial" w:hAnsi="Arial" w:eastAsia="Arial"/>
                <w:b/>
                <w:sz w:val="18"/>
              </w:rPr>
              <w:t>H2 (gıda bilimi doğrulama kuralları):</w:t>
            </w:r>
            <w:r>
              <w:rPr>
                <w:rFonts w:ascii="Arial" w:hAnsi="Arial" w:eastAsia="Arial"/>
                <w:sz w:val="18"/>
              </w:rPr>
              <w:t xml:space="preserve"> Atwater, 100 g kütle dengesi ve fizyolojik aralık kuralları, kuralsız bir LLM çıkarıcısına kıyasla otomatik kabul edilen kayıtların hata oranını düşürür.</w:t>
            </w:r>
          </w:p>
          <w:p>
            <w:pPr>
              <w:spacing w:after="40" w:before="0" w:line="240" w:lineRule="auto"/>
              <w:ind w:left="198" w:hanging="113"/>
            </w:pPr>
            <w:r>
              <w:rPr>
                <w:rFonts w:ascii="Arial" w:hAnsi="Arial" w:eastAsia="Arial"/>
                <w:sz w:val="18"/>
              </w:rPr>
              <w:t xml:space="preserve">• </w:t>
            </w:r>
            <w:r>
              <w:rPr>
                <w:rFonts w:ascii="Arial" w:hAnsi="Arial" w:eastAsia="Arial"/>
                <w:b/>
                <w:sz w:val="18"/>
              </w:rPr>
              <w:t>H3 (modüler kademe):</w:t>
            </w:r>
            <w:r>
              <w:rPr>
                <w:rFonts w:ascii="Arial" w:hAnsi="Arial" w:eastAsia="Arial"/>
                <w:sz w:val="18"/>
              </w:rPr>
              <w:t xml:space="preserve"> Küçük ağırlıkları açık modeller + gerektiğinde yükseltme tasarımı, her makalede güçlü bir ticari modelin tek başına kullanılmasıyla karşılaştırılabilir doğruluğa belirgin biçimde daha düşük maliyetle ulaşır.</w:t>
            </w:r>
          </w:p>
          <w:p>
            <w:pPr>
              <w:spacing w:after="40" w:before="0" w:line="240" w:lineRule="auto"/>
              <w:ind w:left="198" w:hanging="113"/>
            </w:pPr>
            <w:r>
              <w:rPr>
                <w:rFonts w:ascii="Arial" w:hAnsi="Arial" w:eastAsia="Arial"/>
                <w:sz w:val="18"/>
              </w:rPr>
              <w:t xml:space="preserve">• </w:t>
            </w:r>
            <w:r>
              <w:rPr>
                <w:rFonts w:ascii="Arial" w:hAnsi="Arial" w:eastAsia="Arial"/>
                <w:b/>
                <w:sz w:val="18"/>
              </w:rPr>
              <w:t>H4 (katmanlar arası öğrenme):</w:t>
            </w:r>
            <w:r>
              <w:rPr>
                <w:rFonts w:ascii="Arial" w:hAnsi="Arial" w:eastAsia="Arial"/>
                <w:sz w:val="18"/>
              </w:rPr>
              <w:t xml:space="preserve"> Uzman düzeltmelerinin L3'ü yeniden eğittiği geri besleme döngüsü, geri beslemesiz duruma göre alt katman doğruluğunu zaman içinde artırır.</w:t>
            </w:r>
          </w:p>
          <w:p>
            <w:pPr>
              <w:spacing w:after="40" w:before="0" w:line="240" w:lineRule="auto"/>
            </w:pPr>
            <w:r>
              <w:rPr>
                <w:rFonts w:ascii="Arial" w:hAnsi="Arial" w:eastAsia="Arial"/>
                <w:sz w:val="18"/>
              </w:rPr>
              <w:t>Her hipotez, Bölüm 4.7'de tanımlanan ablasyonlarla (yönlendirici açık/kapalı, kurallar açık/kapalı, modüler/monolitik tasarım, geri besleme var/yok) test edilir.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250.000'i aşan (üst senaryoda 500.000'e ölçeklenen)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rakamlar, gıda-besin verisinin girdi olduğu uygulama pazarlarını (kişiselleştirilmiş beslenme, diyet uygulamaları) ifade eder; OpenNutri'nin doğrudan hedeflediği gıda bileşimi veri/API katmanı bu pazarların bir alt kümesidir ve toplam büyüklükle eşitlenmemelidir.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kalemden oluşur: makale başına bir defalık otomatik işleme maliyeti (Hedef 1'de proje sonunda &lt;$0,01 hedeflenir) ve API'yi ayakta tutan tekrarlayan altyapı maliyeti (Bölüm 3.4'te proje sonrası ~12.500 TL/yıl). Bu düşük tutar, proje donanımı edinildikten sonraki değişken işleme/sunum maliyetini ifade eder; personel, satış, destek ve donanım amortismanı ticari fiyatlandırmada ayrıca dikkate alınacaktır. Çıkarım maliyeti bir kayıt için yalnızca bir kez oluşur; üretilen kayıt çok sayıda API çağrısına neredeyse maliyetsiz biçimde yeniden sunulabildiğinden çağrı başına marjinal sunum maliyeti çok düşüktür. Bu yapı kademeli bir gelir modeline olanak tanır: ücretsiz akademik erişim, kullanım hacmine göre fiyatlanan ticari API abonelikleri ve toplu veri/lisans anlaşmaları. Gösterge niteliğindeki bir değerlendirmeyle, yıllık tekrarlayan işletme maliyetinin karşılanması yalnızca birkaç orta ölçekli kurumsal aboneliği gerektirir; bu nedenle başabaş noktasının düşük bir müşteri sayısında ulaşılabilir olduğu öngörülmektedir. Kesin fiyat kademeleri, çağrı başına sunum maliyeti ve ayrıntılı başabaş analizi; pilot sonuçlarına ve değerlendirme dönemindeki güncel model ve altyapı fiyatlarına göre Bölüm 6.3'teki ürünleşme yol haritasında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b/>
                <w:sz w:val="18"/>
              </w:rPr>
              <w:t>Baz koruma ve güvenli normalizasyon:</w:t>
            </w:r>
            <w:r>
              <w:rPr>
                <w:rFonts w:ascii="Arial" w:hAnsi="Arial" w:eastAsia="Arial"/>
                <w:sz w:val="18"/>
              </w:rPr>
              <w:t xml:space="preserve"> Her kayıt, makalede bildirildiği hâliyle özgün değeri, birimi ve bazıyla (100 g, kuru madde, porsiyon vb.) saklanır. 100 g yenilebilir kısma normalizasyon yalnızca dönüşüm için gerekli bilgi (nem, yenilebilir oran veya porsiyon kütlesi) mevcut olduğunda uygulanır; bu bilgi eksikse değer dönüştürülmez, "dönüştürülemez" durumuyla işaretlenip olduğu gibi saklanır ve gerektiğinde L5'e yönlendirilir. Böylece eksik tabana dayalı hatalı dönüşümler önlenir; veri tabanı hem özgün hem de — mümkün olduğunda — karşılaştırılabilir biçimi birlikte taşır.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Hedef, 5.000 makalenin tek incelemeden geçirilmesidir; çift inceleme her makaleye değil, yalnızca küçük bir kalite güvence / uzmanlar arası uyum örneklemine (~%5-10) uygulanır. İki gıda mühendisliği bursiyerinin her biri günde ortalama 10 makale incelediğinde (kişi başı ayda ~21 iş günü), WP4 doğrulama penceresinin (4-16. aylar) eğitim, kalibrasyon ve denetim payı düşüldükten sonra etkin kalan ~12 ay boyunca yaklaşık 2 × 10 × 21 × 12 ≈ 5.000 tekil inceleme tamamlanır; küçük çift-inceleme örneklemi bu sayının üzerine sınırlı bir ek yük getirir. Veri içeren makale başına ~6,8 kayıt yoğunluğunda bu, ≥25.000 altın standart kayda karşılık gelir. Kapasite makale/gün yerine inceleme-dakikası üzerinden bütçelenir; bağlayıcı olan en pahalı kaynak uzman doğrulamasıdır. Aktif öğrenme kuyruğu, insan incelemesini en yüksek eğitim değeri taşıyan örneklere yönlendirir; doğrulama hızı beklenenin altında kalırsa hacim, önceden ilan edilen öncelikli bir alt kümeye indirgenerek kalite korunur (Bölüm 5.2).</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sz w:val="18"/>
              </w:rPr>
              <w:t>Başlangıç somut yöntemi: yönlendirici, doğrulama sonuçlarından beslenen maliyet-duyarlı bir sınıflandırıcı/bağlamsal bandit olarak kurulur; eylem kümesi {L3'te kabul, L4'e yükselt, L5'e yönlendir}, ödül ise doğruluk kısıtı altında negatif işlem maliyetidir. Keşif için ε-açgözlü/Thompson örneklemesi, çevrim dışı değerlendirme için kaydedilmiş kararlar üzerinde ters olasılık ağırlıklandırması kullanılır. Çevrim içi güncellemeler, kabul eşiklerinde kararsızlığı önlemek için sürüm dondurma ve katman başına maliyet tavanlarıyla sınırlandırılır.</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sz w:val="18"/>
              </w:rPr>
              <w:t>Tercih temelli iyileştirme için somut yaklaşım, uzman düzeltmelerinden türetilen (düzeltilmiş ↔ ham çıktı) çiftleri üzerinde denetimli ince ayar ve doğrudan tercih optimizasyonudur (DPO). Güncellemeler toplu (batch) biçimde, kilitli bir değerlendirme kümesiyle ve sürüm dondurmayla uygulanır; böylece çevrim içi kayma denetim altında tutulur ve her güncelleme öncesi/sonrası performans karşılaştırılabilir kalır.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Tam metin ve metin/veri madenciliği (TDM) hakları:</w:t>
            </w:r>
            <w:r>
              <w:rPr>
                <w:rFonts w:ascii="Arial" w:hAnsi="Arial" w:eastAsia="Arial"/>
                <w:sz w:val="18"/>
              </w:rPr>
              <w:t xml:space="preserve"> Meta veriye erişim, toplu tam metin madenciliği hakkıyla aynı şey değildir. Çekirdek hedef hacim, gerçekten açık erişimli tam metinlerden (Europe PMC/PMC açık alt kümesi, DergiPark açık tam metinleri ve açık lisanslı OA sürümleri) karşılanacak biçimde planlanır; bu kaynaklar TDM açısından en az kısıtlı olanlardır. Kapalı/abonelikli içerikte (Scopus, Web of Science, ScienceDirect) çalışma yalnızca kurumsal/EKUAL lisans kapsamı ve yayıncının TDM koşulları dahilinde yürütülür; bu kaynaklardan toplu içe alma, yazılı kurumsal yetkilendirmeye bağlı tutulur. Yayımlanan çıktı telifli tam metin değil, kaynağa atıflı sayısal bileşim kayıtlarıdır.</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çıkarım doğrulama durumu (extraction_verified — çıkarılan değerin kaynak metne sadakati), kanıt/çalışma kalitesi meta verisi (analiz yöntemi, numune büyüklüğü, kültivar/yöre, hazırlama durumu, belirsizlik), uzman düzeltmeleri ve sürüm geçmişi.</w:t>
            </w:r>
          </w:p>
          <w:p>
            <w:pPr>
              <w:spacing w:after="40" w:before="0" w:line="240" w:lineRule="auto"/>
            </w:pPr>
            <w:r>
              <w:rPr>
                <w:rFonts w:ascii="Arial" w:hAnsi="Arial" w:eastAsia="Arial"/>
                <w:sz w:val="18"/>
              </w:rPr>
              <w:t xml:space="preserve">OpenNutri iki ayrı kaliteyi birbirine karıştırmaz: (i) </w:t>
            </w:r>
            <w:r>
              <w:rPr>
                <w:rFonts w:ascii="Arial" w:hAnsi="Arial" w:eastAsia="Arial"/>
                <w:b/>
                <w:sz w:val="18"/>
              </w:rPr>
              <w:t>çıkarım doğruluğu</w:t>
            </w:r>
            <w:r>
              <w:rPr>
                <w:rFonts w:ascii="Arial" w:hAnsi="Arial" w:eastAsia="Arial"/>
                <w:sz w:val="18"/>
              </w:rPr>
              <w:t xml:space="preserve"> — çıkarılan değerin kaynak makaledeki değere sadık olması; (ii) </w:t>
            </w:r>
            <w:r>
              <w:rPr>
                <w:rFonts w:ascii="Arial" w:hAnsi="Arial" w:eastAsia="Arial"/>
                <w:b/>
                <w:sz w:val="18"/>
              </w:rPr>
              <w:t>kanıt kalitesi</w:t>
            </w:r>
            <w:r>
              <w:rPr>
                <w:rFonts w:ascii="Arial" w:hAnsi="Arial" w:eastAsia="Arial"/>
                <w:sz w:val="18"/>
              </w:rPr>
              <w:t xml:space="preserve"> — kaynak ölçümün bilimsel güvenilirliği (analiz yöntemi, numune büyüklüğü, belirsizlik). Sistemin "doğrulanmış kayıt"ı öncelikle çıkarım doğruluğunu ve gıda bilimi olabilirlik kontrollerini güvence altına alır; kaynak çalışmanın analitik ölçümünü yeniden üretmez, bunun yerine çalışma kalitesi meta verisini kayıtla birlikte saklar. Aynı gıda-besin için çelişen ölçümler tek bir değere indirgenmez; kaynaklarıyla birlikte korunur ve gerektiğinde uzman tahkimiyle önceliklendirilir.</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Başvuru tarihi itibarıyla 32.871 arama sonucu/hit kaydedilmiş, 5.498 makale sisteme alınmış ve 4.999 yapay zekâ çıkarım denemesi üretilmiştir. Bu denemelerin yaklaşık %42'si (2.093) kullanılabilir bileşim verisi içermekte; çıkarıcı, veri içeren makaleleri içermeyenlerden ortalama 0,91'e karşı 0,17 güven puanıyla ayırmakta ve bugüne kadar 14.231 ham besin kaydı üretmiştir.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hazır/dışarıdan erişilen modellerden, proje donanımında (gerektiğinde TRUBA üzerinde) çalıştırılacak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yürütülmektedir; ancak mevcut prototipte bu modele bir hizmet sağlayıcının API'si üzerinden erişilmektedir. Çekirdek çıkarımın, hibe kapsamında edinilecek GPU iş istasyonunda tümüyle yerinde (self-hosted) çalıştırılması proje kapsamındaki adımdır; ağır eğitim/ince ayar işleri için TRUBA fırsatçı bir hızlandırıcı olarak değerlendirilir ancak garanti edilen bir bağımlılık değildir (bkz. Bölüm 5.3). Bu geçiş yeni bir yetenek değil düşük riskli bir genişletmedir, çünkü ağırlıkları açık modeller kapalı ticari API'lerin aksine indirilip kurum denetimindeki donanımda barındırılabilir. Bu yerinde dağıtım, Bölüm 6.2'de tanımlanan veri egemenliği kazanımını doğrudan güçlendirir.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ve garanti edilen kaynaklarla (proje GPU iş istasyonu + sınırlı ticari API) yürütülebilir; TRUBA yalnızca ağır eğitim işlerini hızlandırmak için fırsatçı biçimde kullanılır.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 son aşamada doldurulacak: ekibin bu projeye doğrudan kanıt oluşturan 1-2 somut yetkinliği/başarısı (örneğin çalışan OpenNutri prototipinin uçtan uca geliştirilmiş olması, ilgili yayın/ödül veya önceki LLM/veri mühendisliği çıktısı) buraya eklenecektir.]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 ile yürütülecektir. &lt;%0,5 hata hedefinin istatistiksel olarak desteklenebilmesi için her denetim döngüsünde bir taban örneklem büyüklüğü uygulanır: binom güven aralığı mantığıyla, sıfır hatalı gözlemde tek taraflı %95 üst güven sınırı yaklaşık 3/n'dir ("üçler kuralı") ve n≈600'de bu sınır ~%0,5'e denk gelir. Ancak bu yalnızca bağımsız gözlemler için geçerlidir; aynı makaleden gelen kayıtlar kümelenmiş (bağımlı) olduğundan örneklem makale (küme) düzeyinde çekilir ve etkin örneklem büyüklüğü tasarım etkisiyle düzeltilir. Bu nedenle, tasarım etkisi ve tolere edilen hata sayısı dikkate alınarak döngü başına taban örneklem, yeterince çok sayıda farklı makaleye yayılacak biçimde ~1.000-1.500 kayda çıkarılır; güven aralıkları kümelenmeyi hesaba katan küme-bootstrap yöntemiyle hesaplanır ve önceden tanımlanmış sabit bir denetim sıklığıyla raporlanır. Bu taban örneklem küresel orana ilişkindir; tabakalandırma, örneklemi sınıflara dağıtmak ve sınıflar arası farklılıkları saptamak için kullanılır, her tabakaya ayrı bir %0,5 garantisi vermez. Yüksek riskli tabakalarda (karmaşık tablolar, taranmış/OCR gerektiren PDF'ler, Türkçe yayınlar ve yeni model sürümleri gibi) hedefli aşırı örnekleme yapılır. Sayısal yükseltme kuralı: bir tabakanın gözlemlenen hata oranına ait %95 güven aralığının üst sınırı %0,5'i aştığında, o tabaka için otomatik kabul eşiği yükseltilir ve etkilenen kayıtlar L5 uzman doğrulamasına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Donanım kapsamı:</w:t>
            </w:r>
            <w:r>
              <w:rPr>
                <w:rFonts w:ascii="Arial" w:hAnsi="Arial" w:eastAsia="Arial"/>
                <w:sz w:val="18"/>
              </w:rPr>
              <w:t xml:space="preserve"> 1-13B parametre sınıfı modeller ve PEFT (LoRA/QLoRA) ince ayarı, hibe kapsamındaki tek GPU iş istasyonunda (16-24 GB VRAM sınıfı) garanti edilen deneylerdir ve garanti edilen proje hedefleri yalnızca bu kapsama dayanır. 30-70B parametre sınıfı modeller ve tam ince ayar, donanım gereksinimi nedeniyle TRUBA tahsisine (veya gerekirse kısa süreli bulut GPU'ya) bağlı ikincil/koşullu deneyler olarak ele alınır ve garanti edilen sonuçlar arasında sayılmaz.</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sz w:val="18"/>
              </w:rPr>
              <w:t>Çıktıların tek bir pencereye yığılmasını önlemek için API sağlamlaştırma, geliştirici dokümantasyonu ve yayın taslakları WP3-WP4 boyunca erken başlatılır; WP5 öncesinde veri ve model dondurma tarihleri ile kabul kapıları (kilitli kıyaslama kümesi, veri seti sürümü) tanımlanır. Böylece nihai kıyaslama, açık veri yayını ve hakemli yayınlar dondurulmuş sürümler üzerinde yürütülür.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≥250.000 (üst senaryoda 500.000'e ölçeklenen) gıda-besin kaydı; veri sunum API'si yayında (&lt;200 ms p95 sorgu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p>
            <w:pPr>
              <w:spacing w:after="40" w:before="0" w:line="240" w:lineRule="auto"/>
            </w:pPr>
            <w:r>
              <w:rPr>
                <w:rFonts w:ascii="Arial" w:hAnsi="Arial" w:eastAsia="Arial"/>
                <w:b/>
                <w:sz w:val="18"/>
              </w:rPr>
              <w:t>Kişi-İş Paketi Sorumluluk ve Yaklaşık FTE Dağılımı</w:t>
            </w:r>
          </w:p>
          <w:p>
            <w:pPr>
              <w:spacing w:after="40" w:before="0" w:line="240" w:lineRule="auto"/>
            </w:pPr>
            <w:r>
              <w:rPr>
                <w:rFonts w:ascii="Arial" w:hAnsi="Arial" w:eastAsia="Arial"/>
                <w:sz w:val="18"/>
              </w:rPr>
              <w:t>| Ekip Üyesi | Rol | WP1 | WP2 | WP3 | WP4 | WP5 | Yaklaşık FTE | | --- | --- | :-: | :-: | :-: | :-: | :-: | --- | | Prof. Dr. Murat Ceylan (Yürütücü) | Bilimsel/teknik koordinasyon, ileri bileşen liderliği | ✓ | ✓ | ✓ | ✓ | ✓ | ~%20 | | Prof. Dr. S. G. Şumnu (Araştırmacı) | Gıda bilimi doğrulama protokolü ve tahkim | ✓ | ✓ |  | ✓ | ✓ | ~%15 | | Dr. Engin Esme (Araştırmacı) | ML/sistem mimarisi; yönlendirici ve RLHF teknik liderliği |  | ✓ | ✓ | ✓ | ✓ | ~%20 | | Arciel Aliognis (Bursiyer, yazılım/YZ) | L1-L4, Öğrenilmiş Yönlendirici, API | ✓ | ✓ | ✓ | ✓ | ✓ | tam zamanlı | | Alijon Alimov (Bursiyer, yazılım/YZ) | Tarama, entegrasyon, RLHF/öğrenme döngüsü | ✓ |  | ✓ | ✓ | ✓ | tam zamanlı | | Aleyna Özcan (Bursiyer, gıda müh. → YL) | Uzman doğrulama, kural tasarımı, tez |  | ✓ |  | ✓ | ✓ | tam zamanlı | | Peri Açıkgöz (Bursiyer, gıda müh. → YL) | Uzman doğrulama, Türk gıda profili, tez |  | ✓ |  | ✓ | ✓ | tam zamanlı |</w:t>
            </w:r>
          </w:p>
          <w:p>
            <w:pPr>
              <w:spacing w:after="40" w:before="0" w:line="240" w:lineRule="auto"/>
            </w:pPr>
            <w:r>
              <w:rPr>
                <w:rFonts w:ascii="Arial" w:hAnsi="Arial" w:eastAsia="Arial"/>
                <w:sz w:val="18"/>
              </w:rPr>
              <w:t>İki gıda mühendisliği bursiyerinin asıl yükü, kapasitenin bağlayıcı olduğu WP4 doğrulama penceresindedir (4-16. aylar); iki yazılım bursiyeri WP1-WP3 mühendislik yükünü taşır. İleri araştırma bileşenleri (Öğrenilmiş Yönlendirici, RLHF/tercih temelli öğrenme ve katmanlar arası öğrenme), Dr. Engin Esme ve Yürütücü'nün doğrudan teknik liderliğinde, yazılım bursiyerlerinin uygulamasıyla geliştirilir; çalışan prototip bu yetkinliğin somut kanıtıdır.</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Aylık tamamlanan inceleme sayısı izlenir; 8. ay sonunda kümülatif hedefin %40'ının altında kalınırsa tetiklenir: aktif öğrenme kuyruğu en yüksek değerli makaleleri önceliklendirir, yönergeler sadeleştirilir, Prof. Dr. Şumnu gözetiminde kalibrasyon artırılır. Hacim yine de risk altındaysa kalite korunarak kapsam, önceden ilan edilen öncelikli bir alt kümeye (ör. yüksek değerli Türk gıdaları) indirgenir; ≥25.000 altın standart kayıt eşiği, gerekirse makale sayısı yerine kayıt yoğunluğuyla korunur.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tahsisi sağlanmayabilir, gecikebilir veya beklenenden düşük olabilir (tahsis garanti değildir).</w:t>
            </w:r>
          </w:p>
        </w:tc>
        <w:tc>
          <w:tcPr>
            <w:tcW w:type="dxa" w:w="4727"/>
            <w:vAlign w:val="top"/>
          </w:tcPr>
          <w:p>
            <w:pPr>
              <w:spacing w:after="40" w:line="240" w:lineRule="auto"/>
            </w:pPr>
          </w:p>
          <w:p>
            <w:pPr>
              <w:spacing w:after="40" w:before="0" w:line="240" w:lineRule="auto"/>
            </w:pPr>
            <w:r>
              <w:rPr>
                <w:rFonts w:ascii="Arial" w:hAnsi="Arial" w:eastAsia="Arial"/>
                <w:sz w:val="18"/>
              </w:rPr>
              <w:t>Garanti edilen proje hedefleri yalnızca proje GPU iş istasyonu + sınırlı ticari API ile karşılanacak biçimde tasarlanır; ağır ince ayar işleri PEFT (LoRA/QLoRA) ile bu donanıma sığar. TRUBA sağlanırsa 30-70B sınıfı koşullu deneyleri hızlandırır; sağlanmazsa kapsam PEFT ölçeğinde tutulur ve gerektiğinde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her durumda korunur (kalite, hacme feda edilmez). Otomatik onay oranı hedefin altında kalırsa önce eşikler ve L3 iyileştirme döngüsü ayarlanır; gerekirse otomatik yayımlanan kayıt hacmi, hata kısıtını sağlayan alt kümeyle sınırlandırılır ve kalan kayıtlar L5/ertelenmiş olarak işaretlenir. Düşük onay oranı bir başarısızlık değil, ölçülen ve raporlanan bir sonuç olarak ele alınır.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ve mevcut depolama/ağ altyapısı</w:t>
            </w:r>
          </w:p>
        </w:tc>
        <w:tc>
          <w:tcPr>
            <w:tcW w:type="dxa" w:w="4641"/>
            <w:vAlign w:val="top"/>
          </w:tcPr>
          <w:p>
            <w:pPr>
              <w:spacing w:after="40" w:line="240" w:lineRule="auto"/>
            </w:pPr>
          </w:p>
          <w:p>
            <w:pPr>
              <w:spacing w:after="40" w:before="0" w:line="240" w:lineRule="auto"/>
            </w:pPr>
            <w:r>
              <w:rPr>
                <w:rFonts w:ascii="Arial" w:hAnsi="Arial" w:eastAsia="Arial"/>
                <w:sz w:val="18"/>
              </w:rPr>
              <w:t>Birincil veri tabanı, çıkarım servisleri ve PDF/tam metin önbelleği için temel sunucu, depolama ve ağ ortamı (proje kapsamında talep edilen GPU iş istasyonu ve NAS depolama EK-2 bütçesinde ayrıca yer almaktadır).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başvuruya ve uygunluğa bağlı, garanti edilmeyen hesaplama kanalı — standart akademik hesaplar ücretsizdir, öncelikli/ölçekli kullanım ise ARDEB projeleri için hizmet bedeli karşılığı talep edilebilir)</w:t>
            </w:r>
          </w:p>
        </w:tc>
        <w:tc>
          <w:tcPr>
            <w:tcW w:type="dxa" w:w="4641"/>
            <w:vAlign w:val="top"/>
          </w:tcPr>
          <w:p>
            <w:pPr>
              <w:spacing w:after="40" w:line="240" w:lineRule="auto"/>
            </w:pPr>
          </w:p>
          <w:p>
            <w:pPr>
              <w:spacing w:after="40" w:before="0" w:line="240" w:lineRule="auto"/>
            </w:pPr>
            <w:r>
              <w:rPr>
                <w:rFonts w:ascii="Arial" w:hAnsi="Arial" w:eastAsia="Arial"/>
                <w:sz w:val="18"/>
              </w:rPr>
              <w:t>Yalnızca ağır LLM ince ayarı ve model kıyaslaması gibi toplu eğitim işlerini hızlandırmak için fırsatçı kullanım. TRUBA yazılım geliştirme amacıyla kullanılamadığından ve tahsis garanti olmadığından; geliştirme, çıkarım servisi ve garanti edilen proje hedefleri proje GPU iş istasyonu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 ile TürKomp karşılaştırması (EuroFIR erişimi sağlanırsa dahil edilir).</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250.000 (üst senaryoda 500.000'e ölçeklenen) kaynağı izlenebilir gıda-besin kaydı, en az 5.000 özgün Türk gıda öğesi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USDA/TürKomp çapraz referanslama (erişilebildiğinde EuroFIR)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Sürdürülebilirlik</w:t>
            </w:r>
          </w:p>
        </w:tc>
        <w:tc>
          <w:tcPr>
            <w:tcW w:type="dxa" w:w="3544"/>
            <w:vAlign w:val="top"/>
          </w:tcPr>
          <w:p>
            <w:pPr>
              <w:spacing w:after="40" w:line="240" w:lineRule="auto"/>
            </w:pPr>
          </w:p>
          <w:p>
            <w:pPr>
              <w:spacing w:after="40" w:before="0" w:line="240" w:lineRule="auto"/>
            </w:pPr>
            <w:r>
              <w:rPr>
                <w:rFonts w:ascii="Arial" w:hAnsi="Arial" w:eastAsia="Arial"/>
                <w:sz w:val="18"/>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destekli gıda bileşimi çıkarımı için açık kıyaslama ve metodoloji; mimari, benzer literatür-çıkarım problemlerine ilkesel olarak aktarılabilir (proje kapsamında ayrı bir alan doğrulaması yürütülmez).</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Veri lisanslama, API aboneliği ve doğrulama motoru uyarlamasıyla çeşitlendirilmiş gelir kanalları.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İstihdam</w:t>
            </w:r>
          </w:p>
        </w:tc>
        <w:tc>
          <w:tcPr>
            <w:tcW w:type="dxa" w:w="3544"/>
            <w:vAlign w:val="top"/>
          </w:tcPr>
          <w:p>
            <w:pPr>
              <w:spacing w:after="40" w:line="240" w:lineRule="auto"/>
            </w:pPr>
          </w:p>
          <w:p>
            <w:pPr>
              <w:spacing w:after="40" w:before="0" w:line="240" w:lineRule="auto"/>
            </w:pPr>
            <w:r>
              <w:rPr>
                <w:rFonts w:ascii="Arial" w:hAnsi="Arial" w:eastAsia="Arial"/>
                <w:sz w:val="18"/>
              </w:rPr>
              <w:t>Proje sonrası 2 yıl içinde veri operasyonları, API mühendisliği ve iş geliştirme rollerini kapsayan 5-10 kişilik spin-off hedefi (gelir ve finansman kilometre taşlarına bağlı; muhafazakâr senaryoda daha düşük tutulur);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Rekabetçilik</w:t>
            </w:r>
          </w:p>
        </w:tc>
        <w:tc>
          <w:tcPr>
            <w:tcW w:type="dxa" w:w="3544"/>
            <w:vAlign w:val="top"/>
          </w:tcPr>
          <w:p>
            <w:pPr>
              <w:spacing w:after="40" w:line="240" w:lineRule="auto"/>
            </w:pPr>
          </w:p>
          <w:p>
            <w:pPr>
              <w:spacing w:after="40" w:before="0" w:line="240" w:lineRule="auto"/>
            </w:pPr>
            <w:r>
              <w:rPr>
                <w:rFonts w:ascii="Arial" w:hAnsi="Arial" w:eastAsia="Arial"/>
                <w:sz w:val="18"/>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sz w:val="18"/>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8"/>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API'nin, üç hedef sektörü temsil eden 2-3 kuruluşa ücretsiz pilot olarak sunulması hedeflenir (ortaklıklar, proje çıktıları olgunlaştıkça WP5'te aranacaktır; başvuru aşamasında bağlayıcı bir taahhüt varsayılmaz):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Açık ve ticari sınır:</w:t>
            </w:r>
            <w:r>
              <w:rPr>
                <w:rFonts w:ascii="Arial" w:hAnsi="Arial" w:eastAsia="Arial"/>
                <w:sz w:val="18"/>
              </w:rPr>
              <w:t xml:space="preserve"> Açık olarak yayımlanacaklar nettir: değerlendirme/kıyaslama veri alt kümesi, kıyaslama bölme (split) tanımları, kod, dokümantasyon ve metodoloji. Gecikmeli/sınırlı paylaşılacak: tam altın standart veri setinin akademik sürümü (ambargo süresiyle). Ticari/kapalı tutulacaklar: ince ayarlı model ağırlıkları, sürekli güncellenen tam üretim veri tabanı ve doğrulama motoru. Lisans koşulları her kategori için açıkça belirtilecektir.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ve düzenli API/veri lisansı geliri; üst senaryoda en az bir uluslararası doğrulama motoru uyarlama/lisanslama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16.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