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Prof. Dr. Murat Ceylan</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[KURUM: ev sahibi üniversite/kurum adı son aşamada eklenecektir]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Küresel besin veri altyapısı bugün emek yoğun ve büyük ölçüde manuel bir darboğaza sıkışmıştır: güvenilir besin veri tabanları (USDA FoodData Central, EuroFIR) verilerini uzman kürasyonuyla ve çoğunlukla elle derler (Schakel ve diğerleri, 1988; EuroFIR AISBL, 2024); bu yöntem, bilimsel literatürdeki veri hızla artarken ölçeğe yetişememektedir. Güncel ve güvenilir veriler içeren bir besin veri tabanı, diyet alımlarının doğru hesaplanması için kritik önem taşır; ancak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oluşturmuştur (TÜBİTAK MAM Gıda Enstitüsü, 2014; KAMAG 1007). Ancak manuel laboratuvar analizine dayanan bu titiz yöntemle üretilen kapsamın, ülkenin geniş tarımsal ve kültürel gıda çeşitliliğine ve hızla büyüyen bilimsel literatüre yetişecek ölçeğe taşınması doğası gereği yüksek maliyetlidir; sonuçta literatürde belgelenen birçok yerel ürün, ürün varyantı ve hazır yemek ulusal ve uluslararası veri altyapılarına yeterince yansımamaktadır.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gibi uluslararası gıda bileşimi veri altyapılarında yeterince temsil edilmemektedir;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sağlar. Amaç, zorunlu laboratuvar analizinin yerini almak değil; analiz ve teknik dosya hazırlama ihtiyacını azaltmak ve belgelendirme kalitesini yükseltmektir.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ve denetlenebilir besin verisi; zorunlu laboratuvar analizinin yerine geçmeyen, ihracatçıların teknik dosya hazırlama, ön değerlendirme ve ürün formülasyonu süreçlerini destekleyen bir referans katmanı.</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ve uygulamalar (ör. lisanslı veri tabanları NCCDB ve Nutritionix; yaygın kullanılan yabancı uygulamalar MyFitnessPal ve Yazio) kapsam, lisans maliyeti veya yerel gıda çeşitliliği açısından yeterli değildir; simit, lahmacun, yöresel yemekler, yerel bakliyat ve tahıl çeşitleri gibi ürünler çoğu zaman ya eksiktir ya da yabancı muadillerle temsil edilir. Yerel gıdalardaki bu doğruluk farkı, yabancı sistemlerin kapatamadığı bir ayrışma noktasıdır.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gelir iki ayrı varlıktan doğar: (1) doğrulanmış gıda bileşimi veri tabanının sağlık teknolojisi, gıda sanayisi ve araştırma kuruluşlarına sunulması; (2) kademeli doğrulama motorunun, kendi gıda veri altyapısını dijitalleştirmek isteyen ülke veya kurumlara uyarlanabilir bir teknoloji olarak lisanslanması.</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(doğrulama hattı yok): Tek model, doğrulama katmanı yok; Proje Sonu Hedefi: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(doğrulama hattı yok): Güven puanlaması yok; Proje Sonu Hedefi: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(doğrulama hattı yok): Sistematik denetim yok; Proje Sonu Hedefi: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(doğrulama hattı yok): Lider ticari LLM tekil kullanımı; Proje Sonu Hedefi: &lt;$0,01</w:t>
            </w:r>
          </w:p>
          <w:p>
            <w:pPr>
              <w:spacing w:after="40" w:before="0" w:line="240" w:lineRule="auto"/>
            </w:pPr>
            <w:r>
              <w:rPr>
                <w:rFonts w:ascii="Arial" w:hAnsi="Arial" w:eastAsia="Arial"/>
                <w:sz w:val="18"/>
              </w:rPr>
              <w:t>Hedef sütunundaki değerler ölçülmüş prototip sonuçları değil, WP4 doğrulama döngülerinde kalibre edilip ölçülecek proje sonu hedefleridir; referans sütunu, doğrulama hattı olmadan tek bir güçlü ticari LLM'nin kullanıldığı temel yaklaşımı temsil eder. Mevcut prototipten elde edilen ön iç gözlemler bu hedeflerin yönünü desteklemektedir: yaklaşık 5.000 makalede ağırlıkları açık çıkarım modeli, kullanılabilir veri içeren makaleleri içermeyenlerden ortalama 0,91'e karşı 0,17 güven puanıyla ayırmakta; işlenen makalelerin yaklaşık %42'si kullanılabilir bileşim verisi vermekte ve bugüne kadar 14.231 ham besin kaydı çıkarılmıştır. Bu sayılar çıkarımın kendi içindeki kalibrasyonunu gösterir; gerçek otomatik onay doğruluğu, henüz uzman referansı (altın standart) oluşmadığından ölçülmemiştir ve WP4'te ölçülecektir. Nihai kıyaslama, değerlendirme tarihinde mevcut en güçlü ticari ve ağırlıkları açık modellerle yapılacaktır.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 Google Scholar yalnızca yasal/kurumsal arama ve doğrulama bağlamında yardımcı keşif kaynağı olarak değerlendirilecek; resmi API bulunmadığı için temel otomasyon kaynağı olarak konumlandırılmayacaktır.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L1-L3 hattında işlemek (tarama tarafında bağlayıcı kısıt değildir; bkz. Bölüm 4.6).</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250.000 standartlaştırılmış gıda-besin kaydı üretmek. Bu hedef tek bir çarpanla değil, prototip verisiyle kalibre edilmiş bir verim hunisiyle gerekçelendirilir: mevcut prototipte işlenen makalelerin yaklaşık %42'si kullanılabilir bileşim verisi içermekte ve veri içeren makale başına ortalama ~6,8 kayıt çıkarılmaktadır (işlenen makale başına ~2,85 kayıt). Bu oranlar ≥100.000 makale için yaklaşık 285.000 kayda karşılık gelir; çıkarım yoğunluğu ve tam metin erişimi arttıkça 500.000 kayıt, ulaşılabilir bir üst senaryo olarak izlenir.</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öğesini indekslemek. Özgün öğe kanonik bir kimlik kuralıyla tanımlanır: her öğe (gıda adı + biçim/işleme durumu) ikilisiyle belirlenir; kültivar, marka, numune ve kaynak gibi ayrıntılar yeni öğe değil öznitelik olarak saklanır ve aynı gıda farklı makalelerde geçtiğinde tekilleştirilir. Hedef, tekilleştirme kesinliği ölçütüyle birlikte raporlanır.</w:t>
            </w:r>
          </w:p>
          <w:p>
            <w:pPr>
              <w:spacing w:after="40" w:before="0" w:line="240" w:lineRule="auto"/>
            </w:pPr>
            <w:r>
              <w:rPr>
                <w:rFonts w:ascii="Arial" w:hAnsi="Arial" w:eastAsia="Arial"/>
                <w:sz w:val="18"/>
              </w:rPr>
              <w:t>Bu ölçek hedefleri aynı doğrulama düzeyini ifade etmez: ≥100.000 ilgili makale işlenerek aday/çıkarım havuzuna alınacak; ≥250.000 kayıt, faydalı bileşim verisi içeren alt kümeden otomatik üretilecek; ≥5.000 makale ve ≥25.000 kayıt ise uzman doğrulamalı altın standart bölümünü oluşturacaktır. Veri içeren makale başına ~6,8 kayıt yoğunluğunda, 5.000 makalelik uzman doğrulamalı bölüm rahatlıkla ≥25.000 kayıt verir.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(otomatik onay doğruluğu ≥%99,5, otomatik onay oranı ≥%90, veri tabanı hata oranı &lt;%0,5, makale başına maliyet &lt;$0,01), uzman geri bildirimiyle eğitilen alt katmanların zaman içinde iyileşmesiyle hedeflenir. Maliyet hedefleri otomatik işleme maliyetini ifade eder; uzman doğrulama emeği WP4'te ayrıca bütçelenir. Ölçütlerin tam tanımları Bölüm 4.7.1'dedir. Katmanlar arası öğrenmenin etkisi ayrıca makale başına maliyetin düşmesi, otomatik onay oranının artması ve aynı hata kısıtı korunurken L4/L5'e yönlendirilmesi gereken makale payının değerlendirme döngüleri boyunca azalmasıyla izlenecektir; bu analiz Bölüm 4.7.3'teki öğrenme eğrileri ve yönlendirici pişmanlık ölçümleriyle raporlanacaktır.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veri sunum (sorgu) REST API'sini &lt;200 ms (p95) yanıt süresi ve saniyede ≥100 istek işleme kapasitesiyle devreye almak. Bu hedef, kaynaklı kayıtları sunan veri tabanı/sorgu API'sine ilişkindir; yapay zekâ çıkarım gecikmesi ayrı bir büyüklüktür ve Bölüm 4.3 ile WP3'te ele alınır.</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(Avrupa Patent Ofisi/EPO)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 Özellikle istem (claim) bakımından örtüşme potansiyeli taşıyan patentlerde karşılaştırma, ürünün kullanım amacı yerine bağımsız istemler düzeyinde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tarayıcıları, yapılandırılmamış veriden yapılandırılmış veriye dönüştürme, NLP/OCR, gıda/besin bilgisi ve gıda ontolojisi; nihai kullanım tüketici tavsiyesidir.; OpenNutri ile Farkı: İstem düzeyinde bazı bileşenler (tarayıcı, yapılandırma, ontoloji) örtüşür; ancak OpenNutri bilimsel literatürden DOI/sayfa/tablo kaynaklı 100 g bazlı bileşim kaydı üretir, gıda bilimi doğrulama kademesi (Atwater, kütle dengesi) ve uzman geri bildirimli katmanlar arası öğrenme içerir. Örtüşme, ürün amacı düzeyinde değil bağımsız istemler düzeyinde değerlendirilmeli; resmi karşılaştırma ve tasarım-etrafı analizi TTO/patent vekilince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ve yalnızca maliyet düşüren statik kademelerden (ör. FrugalGPT) farklı olarak kademe, hem maliyet optimizasyonu hem de çok katmanlı doğrulama işlevini birlikte üstlenir; bu çift işlevin bilinen bir örneği yoktur.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Sabit güven eşiğine dayalı statik kademelerin (ör. FrugalGPT) yerine, proje boyunca doğrulama sonuçlarından öğrenen ve zamanla ucuzlayan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RLHF yaygın olarak sohbet modeli hizalamasında kullanılır; burada uzman düzeltmelerinin doğrudan çıkarım modellerini yeniden eğittiği yapılandırılmış veri çıkarımına uygulanması yenidir. Bu yaklaşım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 Çıkarım güven puanından bağımsız çalışan, alana özgü bu doğrulama katmanının bilimsel veri çıkarımı literatüründe bildiğimiz kadarıyla bir örneği bulunmamaktadır.</w:t>
            </w:r>
          </w:p>
          <w:p>
            <w:pPr>
              <w:spacing w:after="40" w:before="0" w:line="240" w:lineRule="auto"/>
            </w:pPr>
            <w:r>
              <w:rPr>
                <w:rFonts w:ascii="Arial" w:hAnsi="Arial" w:eastAsia="Arial"/>
                <w:b/>
                <w:sz w:val="18"/>
              </w:rPr>
              <w:t>Araştırma soruları ve hipotezler:</w:t>
            </w:r>
            <w:r>
              <w:rPr>
                <w:rFonts w:ascii="Arial" w:hAnsi="Arial" w:eastAsia="Arial"/>
                <w:sz w:val="18"/>
              </w:rPr>
              <w:t xml:space="preserve"> Projenin araştırma niteliği, aşağıdaki yanlışlanabilir hipotezler ve bunlara karşılık önceden tanımlanmış ablasyon çalışmalarıyla sınanır:</w:t>
            </w:r>
          </w:p>
          <w:p>
            <w:pPr>
              <w:spacing w:after="40" w:before="0" w:line="240" w:lineRule="auto"/>
              <w:ind w:left="198" w:hanging="113"/>
            </w:pPr>
            <w:r>
              <w:rPr>
                <w:rFonts w:ascii="Arial" w:hAnsi="Arial" w:eastAsia="Arial"/>
                <w:sz w:val="18"/>
              </w:rPr>
              <w:t xml:space="preserve">• </w:t>
            </w:r>
            <w:r>
              <w:rPr>
                <w:rFonts w:ascii="Arial" w:hAnsi="Arial" w:eastAsia="Arial"/>
                <w:b/>
                <w:sz w:val="18"/>
              </w:rPr>
              <w:t>H1 (öğrenilmiş yönlendirme):</w:t>
            </w:r>
            <w:r>
              <w:rPr>
                <w:rFonts w:ascii="Arial" w:hAnsi="Arial" w:eastAsia="Arial"/>
                <w:sz w:val="18"/>
              </w:rPr>
              <w:t xml:space="preserve"> Öğrenilmiş Yönlendirici, sabit eşikli statik kademeye göre maliyet/doğruluk sınırında daha iyidir — aynı doğrulukta daha düşük maliyet ya da aynı maliyette daha yüksek doğruluk sağlar.</w:t>
            </w:r>
          </w:p>
          <w:p>
            <w:pPr>
              <w:spacing w:after="40" w:before="0" w:line="240" w:lineRule="auto"/>
              <w:ind w:left="198" w:hanging="113"/>
            </w:pPr>
            <w:r>
              <w:rPr>
                <w:rFonts w:ascii="Arial" w:hAnsi="Arial" w:eastAsia="Arial"/>
                <w:sz w:val="18"/>
              </w:rPr>
              <w:t xml:space="preserve">• </w:t>
            </w:r>
            <w:r>
              <w:rPr>
                <w:rFonts w:ascii="Arial" w:hAnsi="Arial" w:eastAsia="Arial"/>
                <w:b/>
                <w:sz w:val="18"/>
              </w:rPr>
              <w:t>H2 (gıda bilimi doğrulama kuralları):</w:t>
            </w:r>
            <w:r>
              <w:rPr>
                <w:rFonts w:ascii="Arial" w:hAnsi="Arial" w:eastAsia="Arial"/>
                <w:sz w:val="18"/>
              </w:rPr>
              <w:t xml:space="preserve"> Atwater, 100 g kütle dengesi ve fizyolojik aralık kuralları, kuralsız bir LLM çıkarıcısına kıyasla otomatik kabul edilen kayıtların hata oranını düşürür.</w:t>
            </w:r>
          </w:p>
          <w:p>
            <w:pPr>
              <w:spacing w:after="40" w:before="0" w:line="240" w:lineRule="auto"/>
              <w:ind w:left="198" w:hanging="113"/>
            </w:pPr>
            <w:r>
              <w:rPr>
                <w:rFonts w:ascii="Arial" w:hAnsi="Arial" w:eastAsia="Arial"/>
                <w:sz w:val="18"/>
              </w:rPr>
              <w:t xml:space="preserve">• </w:t>
            </w:r>
            <w:r>
              <w:rPr>
                <w:rFonts w:ascii="Arial" w:hAnsi="Arial" w:eastAsia="Arial"/>
                <w:b/>
                <w:sz w:val="18"/>
              </w:rPr>
              <w:t>H3 (modüler kademe):</w:t>
            </w:r>
            <w:r>
              <w:rPr>
                <w:rFonts w:ascii="Arial" w:hAnsi="Arial" w:eastAsia="Arial"/>
                <w:sz w:val="18"/>
              </w:rPr>
              <w:t xml:space="preserve"> Küçük ağırlıkları açık modeller + gerektiğinde yükseltme tasarımı, her makalede güçlü bir ticari modelin tek başına kullanılmasıyla karşılaştırılabilir doğruluğa belirgin biçimde daha düşük maliyetle ulaşır.</w:t>
            </w:r>
          </w:p>
          <w:p>
            <w:pPr>
              <w:spacing w:after="40" w:before="0" w:line="240" w:lineRule="auto"/>
              <w:ind w:left="198" w:hanging="113"/>
            </w:pPr>
            <w:r>
              <w:rPr>
                <w:rFonts w:ascii="Arial" w:hAnsi="Arial" w:eastAsia="Arial"/>
                <w:sz w:val="18"/>
              </w:rPr>
              <w:t xml:space="preserve">• </w:t>
            </w:r>
            <w:r>
              <w:rPr>
                <w:rFonts w:ascii="Arial" w:hAnsi="Arial" w:eastAsia="Arial"/>
                <w:b/>
                <w:sz w:val="18"/>
              </w:rPr>
              <w:t>H4 (katmanlar arası öğrenme):</w:t>
            </w:r>
            <w:r>
              <w:rPr>
                <w:rFonts w:ascii="Arial" w:hAnsi="Arial" w:eastAsia="Arial"/>
                <w:sz w:val="18"/>
              </w:rPr>
              <w:t xml:space="preserve"> Uzman düzeltmelerinin L3'ü yeniden eğittiği geri besleme döngüsü, geri beslemesiz duruma göre alt katman doğruluğunu zaman içinde artırır.</w:t>
            </w:r>
          </w:p>
          <w:p>
            <w:pPr>
              <w:spacing w:after="40" w:before="0" w:line="240" w:lineRule="auto"/>
            </w:pPr>
            <w:r>
              <w:rPr>
                <w:rFonts w:ascii="Arial" w:hAnsi="Arial" w:eastAsia="Arial"/>
                <w:sz w:val="18"/>
              </w:rPr>
              <w:t>Her hipotez, Bölüm 4.7'de tanımlanan ablasyonlarla (yönlendirici açık/kapalı, kurallar açık/kapalı, modüler/monolitik tasarım, geri besleme var/yok) test edilir.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250.000'i aşan (üst senaryoda 500.000'e ölçeklenen)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rakamlar, gıda-besin verisinin girdi olduğu uygulama pazarlarını (kişiselleştirilmiş beslenme, diyet uygulamaları) ifade eder; OpenNutri'nin doğrudan hedeflediği gıda bileşimi veri/API katmanı bu pazarların bir alt kümesidir ve toplam büyüklükle eşitlenmemelidir.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8"/>
              </w:rPr>
              <w:t>Birim ekonomisi ve başabaş (gösterge niteliğinde):</w:t>
            </w:r>
            <w:r>
              <w:rPr>
                <w:rFonts w:ascii="Arial" w:hAnsi="Arial" w:eastAsia="Arial"/>
                <w:sz w:val="18"/>
              </w:rPr>
              <w:t xml:space="preserve"> Ticarileşmenin maliyet temeli iki kalemdir: makale başına bir defalık otomatik işleme maliyeti (Hedef 1'de proje sonunda &lt;$0,01) ve API'yi ayakta tutan tekrarlayan altyapı maliyeti (Bölüm 3.4'te ~12.500 TL/yıl). Çıkarım maliyeti her kayıt için yalnızca bir kez oluşur; üretilen kayıt çok sayıda API çağrısına neredeyse maliyetsiz biçimde yeniden sunulduğundan çağrı başına marjinal maliyet çok düşüktür. Bu yapı kademeli bir gelir modeline olanak tanır: ücretsiz akademik erişim, hacme göre fiyatlanan ticari API abonelikleri ve toplu veri/lisans anlaşmaları. Gösterge niteliğinde, yıllık tekrarlayan işletme maliyetinin karşılanması yalnızca birkaç orta ölçekli kurumsal abonelik gerektirir; bu nedenle başabaş düşük bir müşteri sayısında ulaşılabilir görünmektedir. Personel, satış, destek ve donanım amortismanı ticari fiyatlandırmada ayrıca dikkate alınacak; kesin fiyat kademeleri ve ayrıntılı başabaş analizi pilot sonuçlarına ve güncel fiyatlara göre Bölüm 6.3'te nihaileştirilecektir.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b/>
                <w:sz w:val="18"/>
              </w:rPr>
              <w:t>Baz koruma ve güvenli normalizasyon:</w:t>
            </w:r>
            <w:r>
              <w:rPr>
                <w:rFonts w:ascii="Arial" w:hAnsi="Arial" w:eastAsia="Arial"/>
                <w:sz w:val="18"/>
              </w:rPr>
              <w:t xml:space="preserve"> Her kayıt, makalede bildirildiği hâliyle özgün değeri, birimi ve bazıyla (100 g, kuru madde, porsiyon vb.) saklanır. 100 g yenilebilir kısma normalizasyon yalnızca dönüşüm için gerekli bilgi (nem, yenilebilir oran veya porsiyon kütlesi) mevcut olduğunda uygulanır; bu bilgi eksikse değer dönüştürülmez, "dönüştürülemez" durumuyla işaretlenip olduğu gibi saklanır ve gerektiğinde L5'e yönlendirilir. Böylece eksik tabana dayalı hatalı dönüşümler önlenir; veri tabanı hem özgün hem de — mümkün olduğunda — karşılaştırılabilir biçimi birlikte taşır.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Hedef, 5.000 makalenin tek incelemeden geçirilmesidir; çift inceleme her makaleye değil, yalnızca küçük bir kalite güvence / uzmanlar arası uyum örneklemine (~%5-10) uygulanır. İki gıda mühendisliği bursiyerinin her biri günde ortalama 10 makale incelediğinde (kişi başı ayda ~21 iş günü), WP4 doğrulama penceresinin (4-16. aylar) etkin kalan ~12 ayında yaklaşık 2 × 10 × 21 × 12 ≈ 5.000 tekil inceleme tamamlanır. Veri içeren makale başına ~6,8 kayıt yoğunluğunda bu, ≥25.000 altın standart kayda karşılık gelir. Bağlayıcı olan en pahalı kaynak uzman doğrulaması olduğundan kapasite inceleme-dakikası üzerinden bütçelenir; aktif öğrenme kuyruğu insan incelemesini en yüksek eğitim değerli örneklere yönlendirir ve doğrulama hızı beklenenin altında kalırsa hacim, önceden ilan edilen öncelikli bir alt kümeye indirgenerek kalite korunur (Bölüm 5.2).</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sz w:val="18"/>
              </w:rPr>
              <w:t>Başlangıç somut yöntemi: yönlendirici, doğrulama sonuçlarından beslenen maliyet-duyarlı bir sınıflandırıcı/bağlamsal bandit olarak kurulur; eylem kümesi {L3'te kabul, L4'e yükselt, L5'e yönlendir}, ödül ise doğruluk kısıtı altında negatif işlem maliyetidir. Keşif için ε-açgözlü/Thompson örneklemesi, çevrim dışı değerlendirme için kaydedilmiş kararlar üzerinde ters olasılık ağırlıklandırması kullanılır. Çevrim içi güncellemeler, kabul eşiklerinde kararsızlığı önlemek için sürüm dondurma ve katman başına maliyet tavanlarıyla sınırlandırılır.</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 Bu etkinin ölçeği bütçe açısından belirleyicidir: hedef hacimde otomatik onay oranındaki görece küçük bir artış bile (ör. ~%60'tan ~%90'a) on binlerce L4/L5 çağrısını ortadan kaldırır; eğitim bir defalık maliyet olduğundan bu birikimli tasarruf, eğitim için harcanan hesaplama bütçesini belirgin biçimde aşar.</w:t>
            </w:r>
          </w:p>
          <w:p>
            <w:pPr>
              <w:spacing w:after="40" w:before="0" w:line="240" w:lineRule="auto"/>
            </w:pPr>
            <w:r>
              <w:rPr>
                <w:rFonts w:ascii="Arial" w:hAnsi="Arial" w:eastAsia="Arial"/>
                <w:sz w:val="18"/>
              </w:rPr>
              <w:t>Tercih temelli iyileştirme için somut yaklaşım, uzman düzeltmelerinden türetilen (düzeltilmiş ↔ ham çıktı) çiftleri üzerinde denetimli ince ayar ve doğrudan tercih optimizasyonudur (DPO). Güncellemeler toplu (batch) biçimde, kilitli bir değerlendirme kümesiyle ve sürüm dondurmayla uygulanır; böylece çevrim içi kayma denetim altında tutulur ve her güncelleme öncesi/sonrası performans karşılaştırılabilir kalır.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Tam metin ve metin/veri madenciliği (TDM) hakları:</w:t>
            </w:r>
            <w:r>
              <w:rPr>
                <w:rFonts w:ascii="Arial" w:hAnsi="Arial" w:eastAsia="Arial"/>
                <w:sz w:val="18"/>
              </w:rPr>
              <w:t xml:space="preserve"> Meta veriye erişim, toplu tam metin madenciliği hakkıyla aynı şey değildir. Çekirdek hedef hacim, gerçekten açık erişimli tam metinlerden (Europe PMC/PMC açık alt kümesi, DergiPark açık tam metinleri ve açık lisanslı OA sürümleri) karşılanacak biçimde planlanır; bu kaynaklar TDM açısından en az kısıtlı olanlardır. Kapalı/abonelikli içerikte (Scopus, Web of Science, ScienceDirect) çalışma yalnızca kurumsal/EKUAL lisans kapsamı ve yayıncının TDM koşulları dahilinde yürütülür; bu kaynaklardan toplu içe alma, yazılı kurumsal yetkilendirmeye bağlı tutulur. Yayımlanan çıktı telifli tam metin değil, kaynağa atıflı sayısal bileşim kayıtlarıdır.</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(Møller vd., 2008);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çıkarım doğrulama durumu (extraction_verified — çıkarılan değerin kaynak metne sadakati), kanıt/çalışma kalitesi meta verisi (analiz yöntemi, numune büyüklüğü, kültivar/yöre, hazırlama durumu, belirsizlik), uzman düzeltmeleri ve sürüm geçmişi.</w:t>
            </w:r>
          </w:p>
          <w:p>
            <w:pPr>
              <w:spacing w:after="40" w:before="0" w:line="240" w:lineRule="auto"/>
            </w:pPr>
            <w:r>
              <w:rPr>
                <w:rFonts w:ascii="Arial" w:hAnsi="Arial" w:eastAsia="Arial"/>
                <w:sz w:val="18"/>
              </w:rPr>
              <w:t xml:space="preserve">OpenNutri iki ayrı kaliteyi birbirine karıştırmaz: (i) </w:t>
            </w:r>
            <w:r>
              <w:rPr>
                <w:rFonts w:ascii="Arial" w:hAnsi="Arial" w:eastAsia="Arial"/>
                <w:b/>
                <w:sz w:val="18"/>
              </w:rPr>
              <w:t>çıkarım doğruluğu</w:t>
            </w:r>
            <w:r>
              <w:rPr>
                <w:rFonts w:ascii="Arial" w:hAnsi="Arial" w:eastAsia="Arial"/>
                <w:sz w:val="18"/>
              </w:rPr>
              <w:t xml:space="preserve"> — çıkarılan değerin kaynak makaledeki değere sadık olması; (ii) </w:t>
            </w:r>
            <w:r>
              <w:rPr>
                <w:rFonts w:ascii="Arial" w:hAnsi="Arial" w:eastAsia="Arial"/>
                <w:b/>
                <w:sz w:val="18"/>
              </w:rPr>
              <w:t>kanıt kalitesi</w:t>
            </w:r>
            <w:r>
              <w:rPr>
                <w:rFonts w:ascii="Arial" w:hAnsi="Arial" w:eastAsia="Arial"/>
                <w:sz w:val="18"/>
              </w:rPr>
              <w:t xml:space="preserve"> — kaynak ölçümün bilimsel güvenilirliği (analiz yöntemi, numune büyüklüğü, belirsizlik). Sistemin "doğrulanmış kayıt"ı öncelikle çıkarım doğruluğunu ve gıda bilimi olabilirlik kontrollerini güvence altına alır; kaynak çalışmanın analitik ölçümünü yeniden üretmez, bunun yerine çalışma kalitesi meta verisini kayıtla birlikte saklar. Aynı gıda-besin için çelişen ölçümler tek bir değere indirgenmez; kaynaklarıyla birlikte korunur ve gerektiğinde uzman tahkimiyle önceliklendirilir.</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 tarama aşaması ağırlıkları açık Gemma ailesi bir modelle yürütülmektedir.</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Başvuru tarihi itibarıyla 32.871 arama sonucu/hit kaydedilmiş, 5.498 makale sisteme alınmış ve 4.999 yapay zekâ çıkarım denemesi üretilmiştir. Bu denemelerin yaklaşık %42'si (2.093) kullanılabilir bileşim verisi içermekte; çıkarıcı, veri içeren makaleleri içermeyenlerden ortalama 0,91'e karşı 0,17 güven puanıyla ayırmakta ve bugüne kadar 14.231 ham besin kaydı üretmiştir.</w:t>
            </w:r>
          </w:p>
          <w:p>
            <w:pPr>
              <w:spacing w:after="40" w:before="0" w:line="240" w:lineRule="auto"/>
            </w:pPr>
            <w:r>
              <w:rPr>
                <w:rFonts w:ascii="Arial" w:hAnsi="Arial" w:eastAsia="Arial"/>
                <w:sz w:val="18"/>
              </w:rPr>
              <w:t>Bu prototip, projenin en yüksek riskli bileşeni olan çok parçalı sistem entegrasyonunu fiilen çalışır hâle getirerek fizibilite riskini düşürür. Proje desteği, eksik kalan araştırma bileşenlerini tamamlar: (1) tarama ve çıkarımın hazır/dışarıdan erişilen modellerden ince ayarlı ağırlıkları açık modellere taşınması; (2) gıda bilimi doğrulama kural motorunun sistematik geliştirilmesi; (3) statik yönlendirme eşiklerinin yerine Öğrenilmiş Yönlendirici kurulması; (4) uzman düzeltmelerinin alt katmanları sürekli yeniden eğittiği öğrenme döngüsünün kapatılması. Tarama aşaması halihazırda ağırlıkları açık bir model ailesiyle (Gemma) çalışır; mevcut prototipte bu modele bir sağlayıcının API'si üzerinden erişilmekte olup proje kapsamındaki adım, çekirdek çıkarımın kapalı ticari API yerine ağırlıkları açık modellerle yürütülmesidir. Yazılım geliştirme ve hata ayıklama yerel GPU iş istasyonunda yapılır; ağır toplu çıkarım ile model eğitimi/ince ayarı (30-70B tam ince ayar dâhil) sözleşmeyle tahsis edilen TRUBA H100/H200 kaynaklarına toplu iş olarak gönderilir. TRUBA, proje kabulünde imzalanan sözleşmeyle güvenceye alınan ve ticari buluta göre kat kat ucuz olan birincil ağır-hesaplama kaynağıdır (tarife ve tutar için bkz. Bölüm 5.3, EK-2). Bu geçiş yeni bir yetenek değil düşük riskli bir genişletmedir; çünkü ağırlıkları açık modeller kapalı ticari API'lerin aksine indirilip kurum denetimindeki donanımda barındırılabilir ve bu yerinde dağıtım, Bölüm 6.2'deki veri egemenliği kazanımını doğrudan güçlendirir.</w:t>
            </w:r>
          </w:p>
          <w:p>
            <w:pPr>
              <w:spacing w:after="40" w:before="0" w:line="240" w:lineRule="auto"/>
            </w:pPr>
            <w:r>
              <w:rPr>
                <w:rFonts w:ascii="Arial" w:hAnsi="Arial" w:eastAsia="Arial"/>
                <w:b/>
                <w:sz w:val="18"/>
              </w:rPr>
              <w:t>Yöntem düzeyinde fizibilite:</w:t>
            </w:r>
            <w:r>
              <w:rPr>
                <w:rFonts w:ascii="Arial" w:hAnsi="Arial" w:eastAsia="Arial"/>
                <w:sz w:val="18"/>
              </w:rPr>
              <w:t xml:space="preserve"> Fizibilite yöntem düzeyinde de desteklenir: genel amaçlı büyük dil modelleri ince ayar yapılmadan dahi tablo ve metinden yapılandırılmış veriyi kullanılabilir doğrulukta çıkarabilmekte (Cenikj vd., 2023; Dagdelen vd., 2024); PEFT yöntemleri (LoRA/QLoRA) çok sayıda uzman modelin akademik ölçekli bütçeyle eğitilmesini olanaklı kılmakta; modüler mimari ise tek bir bileşendeki hatanın tüm sistemi etkilemesini sınırlamaktadır; bu nedenle fizibilite yüksek değerlendirilir.</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ve sözleşmeyle tahsis edilen TRUBA H100/H200 hesaplaması üzerinde haftalık toplu işlerle yürütülür; düşük gecikme gerekmediğinden bu toplu erişim modeli yeterlidir. Sınırlı ticari API yalnızca L4 yükseltmesi, yerel iş istasyonu ise geliştirme ve yedek yürütme için kullanılır.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(Prof. Dr. Murat Ceylan, Dr. Engin Esme ve bursiyer ekibi) bir araya getiren disiplinler arası bir yapıdadır. Gıda mühendisliği bursiyerlerinden ikisi, proje süresince yüksek lisans düzeyine geçerek doğrulama ve tez çalışmalarını bu düzeyde sürdürür. [EKİP — son aşamada doldurulacak: ekibin bu projeye doğrudan kanıt oluşturan 1-2 somut yetkinliği/başarısı (örneğin çalışan OpenNutri prototipinin uçtan uca geliştirilmiş olması, ilgili yayın/ödül veya önceki LLM/veri mühendisliği çıktısı) buraya eklenecektir.]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yaklaşık 580 analiz edilmiş gıda için güçlü bir temel sunsa da Türkiye'nin tarımsal ve kültürel gıda çeşitliliği çok daha geniştir. Bilimsel literatürde belgelenen birçok yerel gıda, yöresel ürün ve ürün varyantı uluslararası gıda bileşimi veri altyapılarında yeterince temsil edilmemektedir.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 OpenNutri'nin TürKomp karşısındaki konumu rekabet değil tamamlayıcılıktır: amaç, TürKomp'un yüksek kaliteyle analiz ettiği temel gıdaları yeniden üretmek değil; bu ulusal veriyi uluslararası altyapılarla birlikte çalışabilir kılmak ve TürKomp'un manuel laboratuvar yöntemiyle henüz ulaşamadığı geniş literatür kuyruğunu (yöresel ürünler, ürün varyantları ve hazır yemekler) ölçeklenebilir biçimde kapsamaktır.</w:t>
            </w:r>
          </w:p>
          <w:p>
            <w:pPr>
              <w:spacing w:after="40" w:before="0" w:line="240" w:lineRule="auto"/>
            </w:pPr>
            <w:r>
              <w:rPr>
                <w:rFonts w:ascii="Arial" w:hAnsi="Arial" w:eastAsia="Arial"/>
                <w:b/>
                <w:sz w:val="18"/>
              </w:rPr>
              <w:t>Ön kontrol bulgusu:</w:t>
            </w:r>
            <w:r>
              <w:rPr>
                <w:rFonts w:ascii="Arial" w:hAnsi="Arial" w:eastAsia="Arial"/>
                <w:sz w:val="18"/>
              </w:rPr>
              <w:t xml:space="preserve"> Açığın yönünü göstermek için Türkiye'nin ulusal referans verisi TürKomp ile USDA FoodData Central'ın referans bileşim veri setleri (SR Legacy ve FNDDS) karşılaştırmalı olarak kontrol edilmiştir. Birinci grup somut bir uluslararası temsil açığını doğrulamaktadır: simit (İzmir), tarhana (Uşak), kaşar peyniri, Erzurum sucuğu ve ayran gibi ürünler TürKomp'ta 100 g bazlı bileşim kaydıyla yer aldığı hâlde, USDA'nın bu referans setlerinde — alternatif İngilizce yazımları (örneğin kaşar için "kashkaval/kasseri", sucuk için "sujuk/soudjouk") dâhil — bulunmamaktadır. Başka bir deyişle, ulusal verimizde belgelenmiş Türk gıdaları dahi uluslararası besin veri altyapılarına yansımamaktadır. İkinci grup, TürKomp'un yaklaşık 580 gıdalık kapsamının dışında kalan ve bilimsel literatürde belgelenmesine karşın ön kontrolde ne TürKomp'ta ne de USDA'da karşılığına rastlanan hazır/yöresel yemekleri (örneğin lahmacun, mantı, künefe) içerir; bunlar OpenNutri'nin literatürden özgün biçimde ekleyebileceği aday gıdalardır. Karşıtlık için, bulgur ve Antep fıstığı gibi daha geniş biçimde ihraç edilen ürünlerin her iki altyapıda da temsil edildiği görülmüştür; bu da açığın genel değil ürün düzeyinde seçici olduğunu gösterir. Bu ön kontrol İngilizce/Latin harfli anahtar kelimelere dayanır ve markalı ürün veri setlerini kapsamaz; ikinci gruptaki örnekler kanıtlanmış değil, sistematik indekslemeyle doğrulanacak aday boşluklardır.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dil ve çıkarım katmanına göre tabakalı rastgele örneklemeyle yürütülecektir. &lt;%0,5 hata hedefinin desteklenmesi için her döngüde bir taban örneklem uygulanır: binom güven aralığı mantığıyla sıfır hatalı gözlemde tek taraflı %95 üst sınır ~3/n'dir ("üçler kuralı") ve n≈600'de ~%0,5'e denk gelir. Aynı makaleden gelen kayıtlar kümelenmiş (bağımlı) olduğundan örneklem makale (küme) düzeyinde çekilir; tasarım etkisi ve tolere edilen hata sayısı dikkate alınarak döngü başına taban örneklem ~1.000-1.500 kayda çıkarılır ve güven aralıkları küme-bootstrap ile, önceden tanımlı sabit bir denetim sıklığıyla raporlanır. Bu taban örneklem küresel orana ilişkindir; tabakalandırma sınıflar arası farkları saptamak içindir, her tabakaya ayrı %0,5 garantisi vermez. Yüksek riskli tabakalarda (karmaşık tablolar, taranmış/OCR PDF'ler, Türkçe yayınlar, yeni model sürümleri) hedefli aşırı örnekleme yapılır. Yükseltme kuralı: bir tabakanın hata oranına ait %95 güven aralığının üst sınırı %0,5'i aştığında, o tabakanın otomatik kabul eşiği yükseltilir ve etkilenen kayıtlar L5'e yönlendirilir.</w:t>
            </w:r>
          </w:p>
          <w:p>
            <w:pPr>
              <w:spacing w:after="40" w:before="0" w:line="240" w:lineRule="auto"/>
            </w:pPr>
            <w:r>
              <w:rPr>
                <w:rFonts w:ascii="Arial" w:hAnsi="Arial" w:eastAsia="Arial"/>
                <w:sz w:val="18"/>
              </w:rPr>
              <w:t>Denetim, sistemin kayıtları aşırı eleyerek yapay biçimde düşük hata oranı göstermesini önlemek için geri çağırma ölçütüyle birlikte değerlendirilir: kilitli test kümesinde kesinlik, geri çağırma ve otomatik onay oranı birlikte raporlanır; geri çağırması düşük kalan tabakalardaki kayıtlar elenmek yerine L4/L5 katmanlarına yönlendirilir. Böylece &lt;%0,5 hata hedefi, çıkarılabilir verinin göz ardı edilmesiyle değil doğru çıkarımla sağlanır.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Donanım kapsamı:</w:t>
            </w:r>
            <w:r>
              <w:rPr>
                <w:rFonts w:ascii="Arial" w:hAnsi="Arial" w:eastAsia="Arial"/>
                <w:sz w:val="18"/>
              </w:rPr>
              <w:t xml:space="preserve"> Ağır toplu çıkarım ve model eğitimi/ince ayarı, EK-2'de bütçelenen ve proje kabulünde sözleşmeyle tahsis edilen TRUBA H100/H200 hesaplaması üzerinde yürütülür; bu sayede 30-70B parametre sınıfı modellerin tam ince ayarı dâhil ağır deneyler (H1/H4) güvenceye alınmış kaynaklarla yapılabilir. Yerel GPU iş istasyonu (16 GB VRAM sınıfı), geliştirme, hata ayıklama, çıkarım servisi ve PEFT (LoRA/QLoRA) denemeleri için kullanılır. Teslim hedefleri, TRUBA erişiminin gecikmesi durumunda dahi yerel iş istasyonu + ticari API ile karşılanabilecek biçimde tasarlanmıştır; TRUBA bu hedeflerin hesaplama maliyetini düşürür ve büyük-model araştırma sorularını mümkün kılar.</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kilitli bir test kümesi üzerinde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sz w:val="18"/>
              </w:rPr>
              <w:t>Çıktıların tek bir pencereye yığılmasını önlemek için API sağlamlaştırma, geliştirici dokümantasyonu ve yayın taslakları WP3-WP4 boyunca erken başlatılır; WP5 öncesinde veri ve model dondurma tarihleri ile kabul kapıları (kilitli kıyaslama kümesi, veri seti sürümü) tanımlanır. Böylece nihai kıyaslama, açık veri yayını ve hakemli yayınlar dondurulmuş sürümler üzerinde yürütülür.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1077" w:right="1077" w:gutter="0" w:header="851" w:top="1440" w:footer="851" w:bottom="1440"/>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İş Paketlerinin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Kim(ler) Tarafından Gerçekleştirileceği</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Aralığı (..-.. Ay)</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Başarı Ölçütü ve Projenin Başarısına Katkısı</w:t>
            </w:r>
          </w:p>
        </w:tc>
      </w:tr>
      <w:tr>
        <w:tc>
          <w:tcPr>
            <w:tcW w:type="dxa" w:w="558"/>
            <w:vAlign w:val="top"/>
          </w:tcPr>
          <w:p>
            <w:pPr>
              <w:spacing w:after="40" w:line="240" w:lineRule="auto"/>
            </w:pPr>
          </w:p>
          <w:p>
            <w:pPr>
              <w:spacing w:after="40" w:before="0" w:line="240" w:lineRule="auto"/>
            </w:pPr>
            <w:r>
              <w:rPr>
                <w:rFonts w:ascii="Arial" w:hAnsi="Arial" w:eastAsia="Arial"/>
                <w:sz w:val="18"/>
              </w:rPr>
              <w:t>1</w:t>
            </w:r>
          </w:p>
        </w:tc>
        <w:tc>
          <w:tcPr>
            <w:tcW w:type="dxa" w:w="2377"/>
            <w:vAlign w:val="top"/>
          </w:tcPr>
          <w:p>
            <w:pPr>
              <w:spacing w:after="40" w:line="240" w:lineRule="auto"/>
            </w:pPr>
          </w:p>
          <w:p>
            <w:pPr>
              <w:spacing w:after="40" w:before="0" w:line="240" w:lineRule="auto"/>
            </w:pPr>
            <w:r>
              <w:rPr>
                <w:rFonts w:ascii="Arial" w:hAnsi="Arial" w:eastAsia="Arial"/>
                <w:b/>
                <w:sz w:val="18"/>
              </w:rPr>
              <w:t>Akıllı Literatür Tarama ve L2 Sınıflandırma Hattı:</w:t>
            </w:r>
            <w:r>
              <w:rPr>
                <w:rFonts w:ascii="Arial" w:hAnsi="Arial" w:eastAsia="Arial"/>
                <w:sz w:val="18"/>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1-4. Aylar</w:t>
            </w:r>
          </w:p>
        </w:tc>
        <w:tc>
          <w:tcPr>
            <w:tcW w:type="dxa" w:w="6525"/>
            <w:vAlign w:val="top"/>
          </w:tcPr>
          <w:p>
            <w:pPr>
              <w:spacing w:after="40" w:line="240" w:lineRule="auto"/>
            </w:pPr>
          </w:p>
          <w:p>
            <w:pPr>
              <w:spacing w:after="40" w:before="0" w:line="240" w:lineRule="auto"/>
            </w:pPr>
            <w:r>
              <w:rPr>
                <w:rFonts w:ascii="Arial" w:hAnsi="Arial" w:eastAsia="Arial"/>
                <w:sz w:val="18"/>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8"/>
              </w:rPr>
              <w:t>2</w:t>
            </w:r>
          </w:p>
        </w:tc>
        <w:tc>
          <w:tcPr>
            <w:tcW w:type="dxa" w:w="2377"/>
            <w:vAlign w:val="top"/>
          </w:tcPr>
          <w:p>
            <w:pPr>
              <w:spacing w:after="40" w:line="240" w:lineRule="auto"/>
            </w:pPr>
          </w:p>
          <w:p>
            <w:pPr>
              <w:spacing w:after="40" w:before="0" w:line="240" w:lineRule="auto"/>
            </w:pPr>
            <w:r>
              <w:rPr>
                <w:rFonts w:ascii="Arial" w:hAnsi="Arial" w:eastAsia="Arial"/>
                <w:b/>
                <w:sz w:val="18"/>
              </w:rPr>
              <w:t>Çekirdek Çıkarma Motoru (L3):</w:t>
            </w:r>
            <w:r>
              <w:rPr>
                <w:rFonts w:ascii="Arial" w:hAnsi="Arial" w:eastAsia="Arial"/>
                <w:sz w:val="18"/>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3-8. Aylar</w:t>
            </w:r>
          </w:p>
        </w:tc>
        <w:tc>
          <w:tcPr>
            <w:tcW w:type="dxa" w:w="6525"/>
            <w:vAlign w:val="top"/>
          </w:tcPr>
          <w:p>
            <w:pPr>
              <w:spacing w:after="40" w:line="240" w:lineRule="auto"/>
            </w:pPr>
          </w:p>
          <w:p>
            <w:pPr>
              <w:spacing w:after="40" w:before="0" w:line="240" w:lineRule="auto"/>
            </w:pPr>
            <w:r>
              <w:rPr>
                <w:rFonts w:ascii="Arial" w:hAnsi="Arial" w:eastAsia="Arial"/>
                <w:sz w:val="18"/>
              </w:rPr>
              <w:t>L3 alt görevleri entegre; ≥10 doğrulama kuralı aktif; ticari API tabanlı referansa göre en az %30 maliyet düşüşü;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8"/>
              </w:rPr>
              <w:t>3</w:t>
            </w:r>
          </w:p>
        </w:tc>
        <w:tc>
          <w:tcPr>
            <w:tcW w:type="dxa" w:w="2377"/>
            <w:vAlign w:val="top"/>
          </w:tcPr>
          <w:p>
            <w:pPr>
              <w:spacing w:after="40" w:line="240" w:lineRule="auto"/>
            </w:pPr>
          </w:p>
          <w:p>
            <w:pPr>
              <w:spacing w:after="40" w:before="0" w:line="240" w:lineRule="auto"/>
            </w:pPr>
            <w:r>
              <w:rPr>
                <w:rFonts w:ascii="Arial" w:hAnsi="Arial" w:eastAsia="Arial"/>
                <w:b/>
                <w:sz w:val="18"/>
              </w:rPr>
              <w:t>Kademeli Entegrasyon ve Yönlendirici:</w:t>
            </w:r>
            <w:r>
              <w:rPr>
                <w:rFonts w:ascii="Arial" w:hAnsi="Arial" w:eastAsia="Arial"/>
                <w:sz w:val="18"/>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Dr. Engin Esme;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5-10. Aylar</w:t>
            </w:r>
          </w:p>
        </w:tc>
        <w:tc>
          <w:tcPr>
            <w:tcW w:type="dxa" w:w="6525"/>
            <w:vAlign w:val="top"/>
          </w:tcPr>
          <w:p>
            <w:pPr>
              <w:spacing w:after="40" w:line="240" w:lineRule="auto"/>
            </w:pPr>
          </w:p>
          <w:p>
            <w:pPr>
              <w:spacing w:after="40" w:before="0" w:line="240" w:lineRule="auto"/>
            </w:pPr>
            <w:r>
              <w:rPr>
                <w:rFonts w:ascii="Arial" w:hAnsi="Arial" w:eastAsia="Arial"/>
                <w:sz w:val="18"/>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8"/>
              </w:rPr>
              <w:t>4</w:t>
            </w:r>
          </w:p>
        </w:tc>
        <w:tc>
          <w:tcPr>
            <w:tcW w:type="dxa" w:w="2377"/>
            <w:vAlign w:val="top"/>
          </w:tcPr>
          <w:p>
            <w:pPr>
              <w:spacing w:after="40" w:line="240" w:lineRule="auto"/>
            </w:pPr>
          </w:p>
          <w:p>
            <w:pPr>
              <w:spacing w:after="40" w:before="0" w:line="240" w:lineRule="auto"/>
            </w:pPr>
            <w:r>
              <w:rPr>
                <w:rFonts w:ascii="Arial" w:hAnsi="Arial" w:eastAsia="Arial"/>
                <w:b/>
                <w:sz w:val="18"/>
              </w:rPr>
              <w:t>Uzman Doğrulama ve Katmanlar Arası Öğrenme:</w:t>
            </w:r>
            <w:r>
              <w:rPr>
                <w:rFonts w:ascii="Arial" w:hAnsi="Arial" w:eastAsia="Arial"/>
                <w:sz w:val="18"/>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Prof. Dr. Servet Gülüm Şumnu, Dr. Engin Esme;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4-16. Aylar</w:t>
            </w:r>
          </w:p>
        </w:tc>
        <w:tc>
          <w:tcPr>
            <w:tcW w:type="dxa" w:w="6525"/>
            <w:vAlign w:val="top"/>
          </w:tcPr>
          <w:p>
            <w:pPr>
              <w:spacing w:after="40" w:line="240" w:lineRule="auto"/>
            </w:pPr>
          </w:p>
          <w:p>
            <w:pPr>
              <w:spacing w:after="40" w:before="0" w:line="240" w:lineRule="auto"/>
            </w:pPr>
            <w:r>
              <w:rPr>
                <w:rFonts w:ascii="Arial" w:hAnsi="Arial" w:eastAsia="Arial"/>
                <w:sz w:val="18"/>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8"/>
              </w:rPr>
              <w:t>5</w:t>
            </w:r>
          </w:p>
        </w:tc>
        <w:tc>
          <w:tcPr>
            <w:tcW w:type="dxa" w:w="2377"/>
            <w:vAlign w:val="top"/>
          </w:tcPr>
          <w:p>
            <w:pPr>
              <w:spacing w:after="40" w:line="240" w:lineRule="auto"/>
            </w:pPr>
          </w:p>
          <w:p>
            <w:pPr>
              <w:spacing w:after="40" w:before="0" w:line="240" w:lineRule="auto"/>
            </w:pPr>
            <w:r>
              <w:rPr>
                <w:rFonts w:ascii="Arial" w:hAnsi="Arial" w:eastAsia="Arial"/>
                <w:b/>
                <w:sz w:val="18"/>
              </w:rPr>
              <w:t>Üretim API'si, Kıyaslama Doğrulaması ve Açık Araştırma Çıktıları:</w:t>
            </w:r>
            <w:r>
              <w:rPr>
                <w:rFonts w:ascii="Arial" w:hAnsi="Arial" w:eastAsia="Arial"/>
                <w:sz w:val="18"/>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14-18. Aylar</w:t>
            </w:r>
          </w:p>
        </w:tc>
        <w:tc>
          <w:tcPr>
            <w:tcW w:type="dxa" w:w="6525"/>
            <w:vAlign w:val="top"/>
          </w:tcPr>
          <w:p>
            <w:pPr>
              <w:spacing w:after="40" w:line="240" w:lineRule="auto"/>
            </w:pPr>
          </w:p>
          <w:p>
            <w:pPr>
              <w:spacing w:after="40" w:before="0" w:line="240" w:lineRule="auto"/>
            </w:pPr>
            <w:r>
              <w:rPr>
                <w:rFonts w:ascii="Arial" w:hAnsi="Arial" w:eastAsia="Arial"/>
                <w:sz w:val="18"/>
              </w:rPr>
              <w:t>≥250.000 (üst senaryoda 500.000'e ölçeklenen) gıda-besin kaydı; veri sunum API'si yayında (&lt;200 ms p95 sorgu yanıt süresi, ≥100 istek/saniye); açık veri ve kıyaslama raporu yayımlanır; sistem doğruluğu kilitli test kümesinde bootstrap güven aralığıyla ölçülüp raporlanır; veri tabanı hata oranı L5 doğrulama ve rastgele denetimle &lt;%0,5 düzeyinde tutulur;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8"/>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p>
            <w:pPr>
              <w:spacing w:after="40" w:before="0" w:line="240" w:lineRule="auto"/>
            </w:pPr>
            <w:r>
              <w:rPr>
                <w:rFonts w:ascii="Arial" w:hAnsi="Arial" w:eastAsia="Arial"/>
                <w:b/>
                <w:sz w:val="18"/>
              </w:rPr>
              <w:t>Kişi-İş Paketi Sorumluluk ve Yaklaşık FTE Dağılımı</w:t>
            </w:r>
          </w:p>
          <w:p>
            <w:pPr>
              <w:spacing w:after="40" w:before="0" w:line="240" w:lineRule="auto"/>
            </w:pPr>
            <w:r>
              <w:rPr>
                <w:rFonts w:ascii="Arial" w:hAnsi="Arial" w:eastAsia="Arial"/>
                <w:sz w:val="18"/>
              </w:rPr>
              <w:t>| Ekip Üyesi | Rol | WP1 | WP2 | WP3 | WP4 | WP5 | Yaklaşık FTE | | --- | --- | :-: | :-: | :-: | :-: | :-: | --- | | Prof. Dr. Murat Ceylan (Yürütücü) | Bilimsel/teknik koordinasyon, ileri bileşen liderliği | ✓ | ✓ | ✓ | ✓ | ✓ | ~%20 | | Prof. Dr. S. G. Şumnu (Araştırmacı) | Gıda bilimi doğrulama protokolü ve tahkim | ✓ | ✓ |  | ✓ | ✓ | ~%15 | | Dr. Engin Esme (Araştırmacı) | ML/sistem mimarisi; yönlendirici ve RLHF teknik liderliği |  | ✓ | ✓ | ✓ | ✓ | ~%20 | | Arciel Aliognis (Bursiyer, yazılım/YZ) | L1-L4, Öğrenilmiş Yönlendirici, API | ✓ | ✓ | ✓ | ✓ | ✓ | tam zamanlı | | Alijon Alimov (Bursiyer, yazılım/YZ) | Tarama, entegrasyon, RLHF/öğrenme döngüsü | ✓ |  | ✓ | ✓ | ✓ | tam zamanlı | | Aleyna Özcan (Bursiyer, gıda müh. → YL) | Uzman doğrulama, kural tasarımı, tez |  | ✓ |  | ✓ | ✓ | tam zamanlı | | Peri Açıkgöz (Bursiyer, gıda müh. → YL) | Uzman doğrulama, Türk gıda profili, tez |  | ✓ |  | ✓ | ✓ | tam zamanlı |</w:t>
            </w:r>
          </w:p>
          <w:p>
            <w:pPr>
              <w:spacing w:after="40" w:before="0" w:line="240" w:lineRule="auto"/>
            </w:pPr>
            <w:r>
              <w:rPr>
                <w:rFonts w:ascii="Arial" w:hAnsi="Arial" w:eastAsia="Arial"/>
                <w:sz w:val="18"/>
              </w:rPr>
              <w:t>İki gıda mühendisliği bursiyerinin asıl yükü, kapasitenin bağlayıcı olduğu WP4 doğrulama penceresindedir (4-16. aylar); iki yazılım bursiyeri WP1-WP3 mühendislik yükünü taşır. İleri araştırma bileşenleri (Öğrenilmiş Yönlendirici, RLHF/tercih temelli öğrenme ve katmanlar arası öğrenme), Dr. Engin Esme ve Yürütücü'nün doğrudan teknik liderliğinde, yazılım bursiyerlerinin uygulamasıyla geliştirilir; çalışan prototip bu yetkinliğin somut kanıtıdır.</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1077" w:right="1077" w:gutter="0" w:header="851" w:top="1440" w:footer="851" w:bottom="1440"/>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En Önemli Riskler</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Risk Yönetimi (B Planı)</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8"/>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GPU iş istasyonunun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8"/>
              </w:rPr>
              <w:t>Kritik geliştirme erken dönemde mevcut prototip donanımı ve kurum kaynaklarıyla sürdürülür; satın alma proje başında başlatılır. Ağır hesaplama zaten TRUBA'da yürütüldüğünden yerel iş istasyonunun gecikmesi düşük etkilidir;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8"/>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8"/>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8"/>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8"/>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8"/>
              </w:rPr>
              <w:t>WP4</w:t>
            </w:r>
          </w:p>
        </w:tc>
        <w:tc>
          <w:tcPr>
            <w:tcW w:type="dxa" w:w="4178"/>
            <w:vAlign w:val="top"/>
          </w:tcPr>
          <w:p>
            <w:pPr>
              <w:spacing w:after="40" w:line="240" w:lineRule="auto"/>
            </w:pPr>
          </w:p>
          <w:p>
            <w:pPr>
              <w:spacing w:after="40" w:before="0" w:line="240" w:lineRule="auto"/>
            </w:pPr>
            <w:r>
              <w:rPr>
                <w:rFonts w:ascii="Arial" w:hAnsi="Arial" w:eastAsia="Arial"/>
                <w:sz w:val="18"/>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8"/>
              </w:rPr>
              <w:t>Aylık tamamlanan inceleme sayısı izlenir; 8. ay sonunda kümülatif hedefin %40'ının altında kalınırsa tetiklenir: aktif öğrenme kuyruğu en yüksek değerli makaleleri önceliklendirir, yönergeler sadeleştirilir, Prof. Dr. Şumnu gözetiminde kalibrasyon artırılır. Hacim yine de risk altındaysa kalite korunarak kapsam, önceden ilan edilen öncelikli bir alt kümeye (ör. yüksek değerli Türk gıdaları) indirgenir; ≥25.000 altın standart kayıt eşiği, gerekirse makale sayısı yerine kayıt yoğunluğuyla korunur.</w:t>
            </w:r>
          </w:p>
        </w:tc>
      </w:tr>
      <w:tr>
        <w:tc>
          <w:tcPr>
            <w:tcW w:type="dxa" w:w="651"/>
            <w:vAlign w:val="top"/>
          </w:tcPr>
          <w:p>
            <w:pPr>
              <w:spacing w:after="40" w:line="240" w:lineRule="auto"/>
            </w:pPr>
          </w:p>
          <w:p>
            <w:pPr>
              <w:spacing w:after="40" w:before="0" w:line="240" w:lineRule="auto"/>
            </w:pPr>
            <w:r>
              <w:rPr>
                <w:rFonts w:ascii="Arial" w:hAnsi="Arial" w:eastAsia="Arial"/>
                <w:sz w:val="18"/>
              </w:rPr>
              <w:t>WP3/WP4</w:t>
            </w:r>
          </w:p>
        </w:tc>
        <w:tc>
          <w:tcPr>
            <w:tcW w:type="dxa" w:w="4178"/>
            <w:vAlign w:val="top"/>
          </w:tcPr>
          <w:p>
            <w:pPr>
              <w:spacing w:after="40" w:line="240" w:lineRule="auto"/>
            </w:pPr>
          </w:p>
          <w:p>
            <w:pPr>
              <w:spacing w:after="40" w:before="0" w:line="240" w:lineRule="auto"/>
            </w:pPr>
            <w:r>
              <w:rPr>
                <w:rFonts w:ascii="Arial" w:hAnsi="Arial" w:eastAsia="Arial"/>
                <w:sz w:val="18"/>
              </w:rPr>
              <w:t>TRUBA hizmet alımı erişimi/kuyruğu gecikebilir.</w:t>
            </w:r>
          </w:p>
        </w:tc>
        <w:tc>
          <w:tcPr>
            <w:tcW w:type="dxa" w:w="4727"/>
            <w:vAlign w:val="top"/>
          </w:tcPr>
          <w:p>
            <w:pPr>
              <w:spacing w:after="40" w:line="240" w:lineRule="auto"/>
            </w:pPr>
          </w:p>
          <w:p>
            <w:pPr>
              <w:spacing w:after="40" w:before="0" w:line="240" w:lineRule="auto"/>
            </w:pPr>
            <w:r>
              <w:rPr>
                <w:rFonts w:ascii="Arial" w:hAnsi="Arial" w:eastAsia="Arial"/>
                <w:sz w:val="18"/>
              </w:rPr>
              <w:t>TRUBA hizmet alımı, proje kabulünde ULAKBİM ile imzalanan sözleşmeyle güvenceye alınır (EK-2). Erişim gecikirse teslim hedefleri yerel iş istasyonu (PEFT/LoRA-QLoRA ölçeği) + sınırlı ticari API ile sürdürülür; toplu eğitim işleri TRUBA erişilebilir olduğunda gönderilir, gerekirse kısa süreli bulut GPU köprü olarak kullanılır. Büyük-model (30-70B tam ince ayar) deneyleri bu güvenceye alınmış TRUBA kaynağıyla yürütülür.</w:t>
            </w:r>
          </w:p>
        </w:tc>
      </w:tr>
      <w:tr>
        <w:tc>
          <w:tcPr>
            <w:tcW w:type="dxa" w:w="651"/>
            <w:vAlign w:val="top"/>
          </w:tcPr>
          <w:p>
            <w:pPr>
              <w:spacing w:after="40" w:line="240" w:lineRule="auto"/>
            </w:pPr>
          </w:p>
          <w:p>
            <w:pPr>
              <w:spacing w:after="40" w:before="0" w:line="240" w:lineRule="auto"/>
            </w:pPr>
            <w:r>
              <w:rPr>
                <w:rFonts w:ascii="Arial" w:hAnsi="Arial" w:eastAsia="Arial"/>
                <w:sz w:val="18"/>
              </w:rPr>
              <w:t>WP5</w:t>
            </w:r>
          </w:p>
        </w:tc>
        <w:tc>
          <w:tcPr>
            <w:tcW w:type="dxa" w:w="4178"/>
            <w:vAlign w:val="top"/>
          </w:tcPr>
          <w:p>
            <w:pPr>
              <w:spacing w:after="40" w:line="240" w:lineRule="auto"/>
            </w:pPr>
          </w:p>
          <w:p>
            <w:pPr>
              <w:spacing w:after="40" w:before="0" w:line="240" w:lineRule="auto"/>
            </w:pPr>
            <w:r>
              <w:rPr>
                <w:rFonts w:ascii="Arial" w:hAnsi="Arial" w:eastAsia="Arial"/>
                <w:sz w:val="18"/>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8"/>
              </w:rPr>
              <w:t>Veri tabanı hata hedefi L5 doğrulama ve rastgele denetimle her durumda korunur (kalite, hacme feda edilmez). Otomatik onay oranı hedefin altında kalırsa önce eşikler ve L3 iyileştirme döngüsü ayarlanır; gerekirse otomatik yayımlanan kayıt hacmi, hata kısıtını sağlayan alt kümeyle sınırlandırılır ve kalan kayıtlar L5/ertelenmiş olarak işaretlenir. Düşük onay oranı bir başarısızlık değil, ölçülen ve raporlanan bir sonuç olarak ele alınır.</w:t>
            </w:r>
          </w:p>
        </w:tc>
      </w:tr>
      <w:tr>
        <w:tc>
          <w:tcPr>
            <w:tcW w:type="dxa" w:w="651"/>
            <w:vAlign w:val="top"/>
          </w:tcPr>
          <w:p>
            <w:pPr>
              <w:spacing w:after="40" w:line="240" w:lineRule="auto"/>
            </w:pPr>
          </w:p>
          <w:p>
            <w:pPr>
              <w:spacing w:after="40" w:before="0" w:line="240" w:lineRule="auto"/>
            </w:pPr>
            <w:r>
              <w:rPr>
                <w:rFonts w:ascii="Arial" w:hAnsi="Arial" w:eastAsia="Arial"/>
                <w:sz w:val="18"/>
              </w:rPr>
              <w:t>WP5 / Ticari</w:t>
            </w:r>
          </w:p>
        </w:tc>
        <w:tc>
          <w:tcPr>
            <w:tcW w:type="dxa" w:w="4178"/>
            <w:vAlign w:val="top"/>
          </w:tcPr>
          <w:p>
            <w:pPr>
              <w:spacing w:after="40" w:line="240" w:lineRule="auto"/>
            </w:pPr>
          </w:p>
          <w:p>
            <w:pPr>
              <w:spacing w:after="40" w:before="0" w:line="240" w:lineRule="auto"/>
            </w:pPr>
            <w:r>
              <w:rPr>
                <w:rFonts w:ascii="Arial" w:hAnsi="Arial" w:eastAsia="Arial"/>
                <w:sz w:val="18"/>
              </w:rPr>
              <w:t>Pilot ortaklıkları kurulamaz veya ticari talep beklenenden yavaş gelişir.</w:t>
            </w:r>
          </w:p>
        </w:tc>
        <w:tc>
          <w:tcPr>
            <w:tcW w:type="dxa" w:w="4727"/>
            <w:vAlign w:val="top"/>
          </w:tcPr>
          <w:p>
            <w:pPr>
              <w:spacing w:after="40" w:line="240" w:lineRule="auto"/>
            </w:pPr>
          </w:p>
          <w:p>
            <w:pPr>
              <w:spacing w:after="40" w:before="0" w:line="240" w:lineRule="auto"/>
            </w:pPr>
            <w:r>
              <w:rPr>
                <w:rFonts w:ascii="Arial" w:hAnsi="Arial" w:eastAsia="Arial"/>
                <w:sz w:val="18"/>
              </w:rPr>
              <w:t>Açık akademik veri seti ve yayınlar erken görünürlük ve güven sağlar; gelir tek bir alıcıya bağlanmaz, veri lisansı, API aboneliği ve doğrulama motoru lisansı olarak çeşitlendirilir; ürünleşme riski TÜBİTAK 1512 BiGG ve KOSGEB programlarıyla aşamalı biçimde azaltılır; pilotlar bağlayıcı olmayan niyet mektuplarıyla erken talep sinyali toplar.</w:t>
            </w:r>
          </w:p>
        </w:tc>
      </w:tr>
      <w:tr>
        <w:tc>
          <w:tcPr>
            <w:tcW w:type="dxa" w:w="651"/>
            <w:vAlign w:val="top"/>
          </w:tcPr>
          <w:p>
            <w:pPr>
              <w:spacing w:after="40" w:line="240" w:lineRule="auto"/>
            </w:pPr>
          </w:p>
          <w:p>
            <w:pPr>
              <w:spacing w:after="40" w:before="0" w:line="240" w:lineRule="auto"/>
            </w:pPr>
            <w:r>
              <w:rPr>
                <w:rFonts w:ascii="Arial" w:hAnsi="Arial" w:eastAsia="Arial"/>
                <w:sz w:val="18"/>
              </w:rPr>
              <w:t>Genel (Yasal)</w:t>
            </w:r>
          </w:p>
        </w:tc>
        <w:tc>
          <w:tcPr>
            <w:tcW w:type="dxa" w:w="4178"/>
            <w:vAlign w:val="top"/>
          </w:tcPr>
          <w:p>
            <w:pPr>
              <w:spacing w:after="40" w:line="240" w:lineRule="auto"/>
            </w:pPr>
          </w:p>
          <w:p>
            <w:pPr>
              <w:spacing w:after="40" w:before="0" w:line="240" w:lineRule="auto"/>
            </w:pPr>
            <w:r>
              <w:rPr>
                <w:rFonts w:ascii="Arial" w:hAnsi="Arial" w:eastAsia="Arial"/>
                <w:sz w:val="18"/>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8"/>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8"/>
              </w:rPr>
              <w:t>Yönetim</w:t>
            </w:r>
          </w:p>
        </w:tc>
        <w:tc>
          <w:tcPr>
            <w:tcW w:type="dxa" w:w="4178"/>
            <w:vAlign w:val="top"/>
          </w:tcPr>
          <w:p>
            <w:pPr>
              <w:spacing w:after="40" w:line="240" w:lineRule="auto"/>
            </w:pPr>
          </w:p>
          <w:p>
            <w:pPr>
              <w:spacing w:after="40" w:before="0" w:line="240" w:lineRule="auto"/>
            </w:pPr>
            <w:r>
              <w:rPr>
                <w:rFonts w:ascii="Arial" w:hAnsi="Arial" w:eastAsia="Arial"/>
                <w:sz w:val="18"/>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8"/>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Kuruluşta Bulunan Altyapı/Ekipman Türü, Modeli</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8"/>
              </w:rPr>
              <w:t>Ev sahibi kurum sunucuları, ağ ve mevcut depolama altyapısı</w:t>
            </w:r>
          </w:p>
        </w:tc>
        <w:tc>
          <w:tcPr>
            <w:tcW w:type="dxa" w:w="4641"/>
            <w:vAlign w:val="top"/>
          </w:tcPr>
          <w:p>
            <w:pPr>
              <w:spacing w:after="40" w:line="240" w:lineRule="auto"/>
            </w:pPr>
          </w:p>
          <w:p>
            <w:pPr>
              <w:spacing w:after="40" w:before="0" w:line="240" w:lineRule="auto"/>
            </w:pPr>
            <w:r>
              <w:rPr>
                <w:rFonts w:ascii="Arial" w:hAnsi="Arial" w:eastAsia="Arial"/>
                <w:sz w:val="18"/>
              </w:rPr>
              <w:t>Geliştirme ve servis için temel sunucu/ağ ortamı (kurum ağı kullanılır; ayrı ağ donanımı talep edilmez). Proje kapsamında talep edilen GPU geliştirme/servis iş istasyonu EK-2 bütçesindedir; üretim veri barındırma ve yedekleme bulut hizmetiyle sağlanır.</w:t>
            </w:r>
          </w:p>
        </w:tc>
      </w:tr>
      <w:tr>
        <w:tc>
          <w:tcPr>
            <w:tcW w:type="dxa" w:w="4915"/>
            <w:vAlign w:val="top"/>
          </w:tcPr>
          <w:p>
            <w:pPr>
              <w:spacing w:after="40" w:line="240" w:lineRule="auto"/>
            </w:pPr>
          </w:p>
          <w:p>
            <w:pPr>
              <w:spacing w:after="40" w:before="0" w:line="240" w:lineRule="auto"/>
            </w:pPr>
            <w:r>
              <w:rPr>
                <w:rFonts w:ascii="Arial" w:hAnsi="Arial" w:eastAsia="Arial"/>
                <w:sz w:val="18"/>
              </w:rPr>
              <w:t>TRUBA yüksek başarımlı hesaplama kaynakları (TÜBİTAK ULAKBİM; ARDEB projeleri için hizmet bedeli karşılığı, proje kabulünde imzalanan sözleşmeyle tahsis edilen H100/H200 hesaplaması — EK-2'de bütçelenmiştir)</w:t>
            </w:r>
          </w:p>
        </w:tc>
        <w:tc>
          <w:tcPr>
            <w:tcW w:type="dxa" w:w="4641"/>
            <w:vAlign w:val="top"/>
          </w:tcPr>
          <w:p>
            <w:pPr>
              <w:spacing w:after="40" w:line="240" w:lineRule="auto"/>
            </w:pPr>
          </w:p>
          <w:p>
            <w:pPr>
              <w:spacing w:after="40" w:before="0" w:line="240" w:lineRule="auto"/>
            </w:pPr>
            <w:r>
              <w:rPr>
                <w:rFonts w:ascii="Arial" w:hAnsi="Arial" w:eastAsia="Arial"/>
                <w:sz w:val="18"/>
              </w:rPr>
              <w:t>Toplu model çıkarımı ile model eğitimi/ince ayarı (30-70B tam ince ayar dâhil) için birincil ağır-hesaplama kaynağı; haftalık toplu işlerle kullanılır. TRUBA yazılım geliştirme amacıyla kullanılamadığından geliştirme, hata ayıklama ve çıkarım servisi yerel GPU iş istasyonunda yürütülür.</w:t>
            </w:r>
          </w:p>
        </w:tc>
      </w:tr>
      <w:tr>
        <w:tc>
          <w:tcPr>
            <w:tcW w:type="dxa" w:w="4915"/>
            <w:vAlign w:val="top"/>
          </w:tcPr>
          <w:p>
            <w:pPr>
              <w:spacing w:after="40" w:line="240" w:lineRule="auto"/>
            </w:pPr>
          </w:p>
          <w:p>
            <w:pPr>
              <w:spacing w:after="40" w:before="0" w:line="240" w:lineRule="auto"/>
            </w:pPr>
            <w:r>
              <w:rPr>
                <w:rFonts w:ascii="Arial" w:hAnsi="Arial" w:eastAsia="Arial"/>
                <w:sz w:val="18"/>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8"/>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8"/>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8"/>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Zaman Aralığı</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Büyük ölçekli gıda bileşimi veri çıkarma kıyaslaması: ticari ve ağırlıkları açık LLM'ler ile OpenNutri'nin doğruluk, maliyet ve hız karşılaştırması; değerlendirme veri seti ve kodunun yayımlanması (hedef: NeurIPS Datasets &amp; Benchmarks / ACL).</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Kademeli Hibrit Zekâ mimarisi makalesi: L1-L5 işlem hattı, Öğrenilmiş Yönlendirici, katmanlar arası öğrenme, ablasyon çalışmaları ve maliyet analizi (hedef: Expert Systems with Applications / Computers and Electronics in Agriculture).</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OpenNutri-DB veri seti makalesi: veri tabanı tanımı, metodoloji, Türk gıda veri açığı analizi ve USDA ile TürKomp karşılaştırması; EuroFIR erişimi sağlanırsa dahil edilir (hedef: JFCA, Food Chemistry / Nature Scientific Data).</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Veri Tabanı: en az 250.000 (üst senaryoda 500.000'e ölçeklenen) kaynağı izlenebilir gıda-besin kaydı, en az 5.000 özgün Türk gıda öğesi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8"/>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Gıda Bilimi ekibi: gıda bileşimi analizi, Türk gıda profillemesi, kalite kontrol protokolleri, USDA/TürKomp çapraz referanslama (erişilebildiğinde EuroFIR)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8"/>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önceliklerinden gıda ve tarımın öncelikli gelişme alanı olarak güçlendirilmesi, gıda güvencesi, dijital dönüşüm, yerli ve milli teknoloji geliştirme ve yeşil dönüşüm hedefleriyle doğrudan ilişkilidir.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Etkinin Elde Edilmesi Öngörülen Zaman</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Yaşam kalitesi:</w:t>
            </w:r>
            <w:r>
              <w:rPr>
                <w:rFonts w:ascii="Arial" w:hAnsi="Arial" w:eastAsia="Arial"/>
                <w:sz w:val="18"/>
              </w:rPr>
              <w:t xml:space="preserve"> Türk yemek kültürüne uyarlanmış kanıta dayalı beslenme rehberliği; yerel gıdalar için daha doğru beslenme takibi ve diyet uygulamaları (öngörü: proje sonrası 2 yıl içinde birden çok yerli beslenme/diyet uygulamasının OpenNutri verisini kullanması).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Refah/eğitim:</w:t>
            </w:r>
            <w:r>
              <w:rPr>
                <w:rFonts w:ascii="Arial" w:hAnsi="Arial" w:eastAsia="Arial"/>
                <w:sz w:val="18"/>
              </w:rPr>
              <w:t xml:space="preserve"> 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Sürdürülebilir çevre:</w:t>
            </w:r>
            <w:r>
              <w:rPr>
                <w:rFonts w:ascii="Arial" w:hAnsi="Arial" w:eastAsia="Arial"/>
                <w:sz w:val="18"/>
              </w:rPr>
              <w:t xml:space="preserve"> 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8"/>
              </w:rPr>
              <w:t>18-42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Yeni Ar-Ge kararları:</w:t>
            </w:r>
            <w:r>
              <w:rPr>
                <w:rFonts w:ascii="Arial" w:hAnsi="Arial" w:eastAsia="Arial"/>
                <w:sz w:val="18"/>
              </w:rPr>
              <w:t xml:space="preserve"> Yapay zekâ destekli gıda bileşimi çıkarımı için açık kıyaslama ve metodoloji; mimari, benzer literatür-çıkarım problemlerine ilkesel olarak aktarılabilir (proje kapsamında ayrı bir alan doğrulaması yürütülmez).</w:t>
            </w:r>
          </w:p>
        </w:tc>
        <w:tc>
          <w:tcPr>
            <w:tcW w:type="dxa" w:w="2551"/>
            <w:vAlign w:val="top"/>
          </w:tcPr>
          <w:p>
            <w:pPr>
              <w:spacing w:after="40" w:line="240" w:lineRule="auto"/>
            </w:pPr>
          </w:p>
          <w:p>
            <w:pPr>
              <w:spacing w:after="40" w:before="0" w:line="240" w:lineRule="auto"/>
            </w:pPr>
            <w:r>
              <w:rPr>
                <w:rFonts w:ascii="Arial" w:hAnsi="Arial" w:eastAsia="Arial"/>
                <w:sz w:val="18"/>
              </w:rPr>
              <w:t>12-24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Ulusal/uluslararası işbirlikleri:</w:t>
            </w:r>
            <w:r>
              <w:rPr>
                <w:rFonts w:ascii="Arial" w:hAnsi="Arial" w:eastAsia="Arial"/>
                <w:sz w:val="18"/>
              </w:rPr>
              <w:t xml:space="preserve"> USDA FoodData Central, EFSA ve FAO/INFOODS gibi veri ekosistemleriyle uyumlu format sayesinde iş birliği zemini (öngörü: 2 yıl içinde en az 1 resmi ulusal/uluslararası Ar-Ge iş birliği).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Üniversite-sanayi işbirliği:</w:t>
            </w:r>
            <w:r>
              <w:rPr>
                <w:rFonts w:ascii="Arial" w:hAnsi="Arial" w:eastAsia="Arial"/>
                <w:sz w:val="18"/>
              </w:rPr>
              <w:t xml:space="preserve"> Üretim API'si ve doğrulanmış veri tabanı, üniversite-sanayi iş birliği için somut ürün ve altyapı sağlar; gıda ihracatçıları ve sağlık teknolojisi firmaları akademik çıktıların doğrudan paydaşı hâline gelir.</w:t>
            </w:r>
          </w:p>
        </w:tc>
        <w:tc>
          <w:tcPr>
            <w:tcW w:type="dxa" w:w="2551"/>
            <w:vAlign w:val="top"/>
          </w:tcPr>
          <w:p>
            <w:pPr>
              <w:spacing w:after="40" w:line="240" w:lineRule="auto"/>
            </w:pPr>
          </w:p>
          <w:p>
            <w:pPr>
              <w:spacing w:after="40" w:before="0" w:line="240" w:lineRule="auto"/>
            </w:pPr>
            <w:r>
              <w:rPr>
                <w:rFonts w:ascii="Arial" w:hAnsi="Arial" w:eastAsia="Arial"/>
                <w:sz w:val="18"/>
              </w:rPr>
              <w:t>12-36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Araştırmacı niteliği:</w:t>
            </w:r>
            <w:r>
              <w:rPr>
                <w:rFonts w:ascii="Arial" w:hAnsi="Arial" w:eastAsia="Arial"/>
                <w:sz w:val="18"/>
              </w:rPr>
              <w:t xml:space="preserve"> 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8"/>
              </w:rPr>
              <w:t>0-18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Sektörel uygulama alanları:</w:t>
            </w:r>
            <w:r>
              <w:rPr>
                <w:rFonts w:ascii="Arial" w:hAnsi="Arial" w:eastAsia="Arial"/>
                <w:sz w:val="18"/>
              </w:rPr>
              <w:t xml:space="preserve"> 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Küresel pazar:</w:t>
            </w:r>
            <w:r>
              <w:rPr>
                <w:rFonts w:ascii="Arial" w:hAnsi="Arial" w:eastAsia="Arial"/>
                <w:sz w:val="18"/>
              </w:rPr>
              <w:t xml:space="preserve"> Veri lisanslama, API aboneliği ve doğrulama motoru uyarlamasıyla çeşitlendirilmiş gelir kanalları; benzer açığı yaşayan ülkelere motor lisanslama fırsatı.</w:t>
            </w:r>
          </w:p>
        </w:tc>
        <w:tc>
          <w:tcPr>
            <w:tcW w:type="dxa" w:w="2551"/>
            <w:vAlign w:val="top"/>
          </w:tcPr>
          <w:p>
            <w:pPr>
              <w:spacing w:after="40" w:line="240" w:lineRule="auto"/>
            </w:pPr>
          </w:p>
          <w:p>
            <w:pPr>
              <w:spacing w:after="40" w:before="0" w:line="240" w:lineRule="auto"/>
            </w:pPr>
            <w:r>
              <w:rPr>
                <w:rFonts w:ascii="Arial" w:hAnsi="Arial" w:eastAsia="Arial"/>
                <w:sz w:val="18"/>
              </w:rPr>
              <w:t>24-48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İstihdam:</w:t>
            </w:r>
            <w:r>
              <w:rPr>
                <w:rFonts w:ascii="Arial" w:hAnsi="Arial" w:eastAsia="Arial"/>
                <w:sz w:val="18"/>
              </w:rPr>
              <w:t xml:space="preserve"> Proje sonrası 2 yıl içinde veri operasyonları, API mühendisliği ve iş geliştirme rollerini kapsayan 5-10 kişilik spin-off hedefi (gelir ve finansman kilometre taşlarına bağlı; muhafazakâr senaryoda daha düşük tutulur); ekosistemde 10-20 dolaylı istihdam potansiyeli.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Rekabetçilik:</w:t>
            </w:r>
            <w:r>
              <w:rPr>
                <w:rFonts w:ascii="Arial" w:hAnsi="Arial" w:eastAsia="Arial"/>
                <w:sz w:val="18"/>
              </w:rPr>
              <w:t xml:space="preserve"> Yabancı besin veri tabanlarına bağımlılığı azaltan, Türk gıdalarını kapsayan ulusal alternatif (ithal ikamesi); ihracat ve yerli sağlık teknolojileri için doğruluk avantajı; yeni yerli firmaların önünü açma.</w:t>
            </w:r>
          </w:p>
        </w:tc>
        <w:tc>
          <w:tcPr>
            <w:tcW w:type="dxa" w:w="2551"/>
            <w:vAlign w:val="top"/>
          </w:tcPr>
          <w:p>
            <w:pPr>
              <w:spacing w:after="40" w:line="240" w:lineRule="auto"/>
            </w:pPr>
          </w:p>
          <w:p>
            <w:pPr>
              <w:spacing w:after="40" w:before="0" w:line="240" w:lineRule="auto"/>
            </w:pPr>
            <w:r>
              <w:rPr>
                <w:rFonts w:ascii="Arial" w:hAnsi="Arial" w:eastAsia="Arial"/>
                <w:sz w:val="18"/>
              </w:rPr>
              <w:t>18-48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b/>
                <w:sz w:val="18"/>
              </w:rPr>
              <w:t>Ekonomik güvenlik:</w:t>
            </w:r>
            <w:r>
              <w:rPr>
                <w:rFonts w:ascii="Arial" w:hAnsi="Arial" w:eastAsia="Arial"/>
                <w:sz w:val="18"/>
              </w:rPr>
              <w:t xml:space="preserve"> 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b/>
                <w:sz w:val="18"/>
              </w:rPr>
              <w:t>Siber güvenlik / veri egemenliği:</w:t>
            </w:r>
            <w:r>
              <w:rPr>
                <w:rFonts w:ascii="Arial" w:hAnsi="Arial" w:eastAsia="Arial"/>
                <w:sz w:val="18"/>
              </w:rPr>
              <w:t xml:space="preserve"> Çekirdek veri ve model altyapısının kurum/proje donanımı ve sözleşmeyle tahsis edilen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API'nin, üç hedef sektörü temsil eden 2-3 kuruluşa ücretsiz pilot olarak sunulması hedeflenir (ortaklıklar, proje çıktıları olgunlaştıkça WP5'te aranacaktır; başvuru aşamasında bağlayıcı bir taahhüt varsayılmaz):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Pilot başarı ölçütleri:</w:t>
            </w:r>
            <w:r>
              <w:rPr>
                <w:rFonts w:ascii="Arial" w:hAnsi="Arial" w:eastAsia="Arial"/>
                <w:sz w:val="18"/>
              </w:rPr>
              <w:t xml:space="preserve"> Pilotlar, partner taahhüdü gerektirmeyen ve sistemin halihazırda izlediği göstergelere dayanan ölçütlerle değerlendirilecektir: partnerin kendi kullanım senaryosunda doğruladığı kaynaklı kayıt sayısı; bu kayıtlarda partnerin yaptığı düzeltme oranı (düşük düzeltme oranı, otomatik onay kalitesinin göstergesidir); manuel veri arama veya laboratuvar ön elemesinde sağlanan zaman ve iş gücü tasarrufu; ve pilot sonunda alınan bağlayıcı olmayan niyet/geri bildirim mektubu. Bu ölçütler, ürünleşme kararı ve fiyatlandırma için somut bir kanıt tabanı oluşturur.</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Açık ve ticari sınır:</w:t>
            </w:r>
            <w:r>
              <w:rPr>
                <w:rFonts w:ascii="Arial" w:hAnsi="Arial" w:eastAsia="Arial"/>
                <w:sz w:val="18"/>
              </w:rPr>
              <w:t xml:space="preserve"> Açık olarak yayımlanacaklar nettir: değerlendirme/kıyaslama veri alt kümesi, kıyaslama bölme (split) tanımları, kod, dokümantasyon ve metodoloji. Gecikmeli/sınırlı paylaşılacak: tam altın standart veri setinin akademik sürümü (ambargo süresiyle). Ticari/kapalı tutulacaklar: ince ayarlı model ağırlıkları, sürekli güncellenen tam üretim veri tabanı ve doğrulama motoru. Lisans koşulları her kategori için açıkça belirtilecektir.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ve düzenli API/veri lisansı geliri; üst senaryoda en az bir uluslararası doğrulama motoru uyarlama/lisanslama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Etkinliğin Zamanı ve Süresi</w:t>
            </w:r>
          </w:p>
        </w:tc>
      </w:tr>
      <w:tr>
        <w:tc>
          <w:tcPr>
            <w:tcW w:type="dxa" w:w="3472"/>
            <w:vAlign w:val="top"/>
          </w:tcPr>
          <w:p>
            <w:pPr>
              <w:spacing w:after="40" w:line="240" w:lineRule="auto"/>
            </w:pPr>
          </w:p>
          <w:p>
            <w:pPr>
              <w:spacing w:after="40" w:before="0" w:line="240" w:lineRule="auto"/>
            </w:pPr>
            <w:r>
              <w:rPr>
                <w:rFonts w:ascii="Arial" w:hAnsi="Arial" w:eastAsia="Arial"/>
                <w:sz w:val="18"/>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8"/>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 </w:t>
            </w:r>
            <w:r>
              <w:rPr>
                <w:rFonts w:ascii="Arial" w:hAnsi="Arial" w:eastAsia="Arial"/>
                <w:sz w:val="18"/>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8"/>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8"/>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6. </w:t>
            </w:r>
            <w:r>
              <w:rPr>
                <w:rFonts w:ascii="Arial" w:hAnsi="Arial" w:eastAsia="Arial"/>
                <w:sz w:val="18"/>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8"/>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8"/>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8"/>
              </w:rPr>
              <w:t>12-18. aylar</w:t>
            </w:r>
          </w:p>
        </w:tc>
      </w:tr>
      <w:tr>
        <w:tc>
          <w:tcPr>
            <w:tcW w:type="dxa" w:w="3472"/>
            <w:vAlign w:val="top"/>
          </w:tcPr>
          <w:p>
            <w:pPr>
              <w:spacing w:after="40" w:line="240" w:lineRule="auto"/>
            </w:pPr>
          </w:p>
          <w:p>
            <w:pPr>
              <w:spacing w:after="40" w:before="0" w:line="240" w:lineRule="auto"/>
            </w:pPr>
            <w:r>
              <w:rPr>
                <w:rFonts w:ascii="Arial" w:hAnsi="Arial" w:eastAsia="Arial"/>
                <w:sz w:val="18"/>
              </w:rPr>
              <w:t>Açık araştırma veri seti (Zenodo / HuggingFace), 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8"/>
              </w:rPr>
              <w:t>Küresel araştırma topluluğu, FAO/INFOODS ve USDA/EFSA ekosistemi, yazılım ve sağlık teknolojisi geliştiricileri, beslenme uygulamaları</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8"/>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14.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Sektör tanıtım günü / paydaş toplantısı ve 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8"/>
              </w:rPr>
              <w:t>Gıda ihracatçıları, TİM ve ilgili ihracatçı birlikleri, sağlık teknolojisi girişimleri, diyetisyenler, kamu paydaşları</w:t>
            </w:r>
          </w:p>
        </w:tc>
        <w:tc>
          <w:tcPr>
            <w:tcW w:type="dxa" w:w="2873"/>
            <w:vAlign w:val="top"/>
          </w:tcPr>
          <w:p>
            <w:pPr>
              <w:spacing w:after="40" w:line="240" w:lineRule="auto"/>
            </w:pPr>
          </w:p>
          <w:p>
            <w:pPr>
              <w:spacing w:after="40" w:before="0" w:line="240" w:lineRule="auto"/>
            </w:pPr>
            <w:r>
              <w:rPr>
                <w:rFonts w:ascii="Arial" w:hAnsi="Arial" w:eastAsia="Arial"/>
                <w:sz w:val="18"/>
              </w:rPr>
              <w:t>14-18. aylar</w:t>
            </w:r>
          </w:p>
        </w:tc>
      </w:tr>
      <w:tr>
        <w:tc>
          <w:tcPr>
            <w:tcW w:type="dxa" w:w="3472"/>
            <w:vAlign w:val="top"/>
          </w:tcPr>
          <w:p>
            <w:pPr>
              <w:spacing w:after="40" w:line="240" w:lineRule="auto"/>
            </w:pPr>
          </w:p>
          <w:p>
            <w:pPr>
              <w:spacing w:after="40" w:before="0" w:line="240" w:lineRule="auto"/>
            </w:pPr>
            <w:r>
              <w:rPr>
                <w:rFonts w:ascii="Arial" w:hAnsi="Arial" w:eastAsia="Arial"/>
                <w:sz w:val="18"/>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8"/>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8"/>
              </w:rPr>
              <w:t>15-18. aylar</w:t>
            </w:r>
          </w:p>
        </w:tc>
      </w:tr>
      <w:tr>
        <w:tc>
          <w:tcPr>
            <w:tcW w:type="dxa" w:w="3472"/>
            <w:vAlign w:val="top"/>
          </w:tcPr>
          <w:p>
            <w:pPr>
              <w:spacing w:after="40" w:line="240" w:lineRule="auto"/>
            </w:pPr>
          </w:p>
          <w:p>
            <w:pPr>
              <w:spacing w:after="40" w:before="0" w:line="240" w:lineRule="auto"/>
            </w:pPr>
            <w:r>
              <w:rPr>
                <w:rFonts w:ascii="Arial" w:hAnsi="Arial" w:eastAsia="Arial"/>
                <w:sz w:val="18"/>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8"/>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18. </w:t>
            </w:r>
            <w:r>
              <w:rPr>
                <w:rFonts w:ascii="Arial" w:hAnsi="Arial" w:eastAsia="Arial"/>
                <w:sz w:val="18"/>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1077" w:right="1077" w:gutter="0" w:header="851" w:top="1440" w:footer="851"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