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 (TÜBİTAK MAM Gıda Enstitüsü, 2014; KAMAG 1007), ancak kuruluşundan bu yana sistematik ve büyük ölçekli bir genişlemeye tabi tutulmamıştır. Manuel laboratuvar analizine dayanan bu yaklaşımın, ülkenin geniş tarımsal ve kültürel gıda çeşitliliğini kapsayacak biçimde ölçeklendirilmesi yüksek maliyetlidir.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ve EuroFIR gibi uluslararası gıda bileşimi veri tabanlarında bulunmamaktadır;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REST API'sini &lt;200 ms (p95) yanıt süresi ve saniyede ≥100 istek işleme kapasitesiyle devreye almak.</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 modellerden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500'den fazla analiz edilmiş gıda için güçlü bir temel sunsa da Türkiye'nin tarımsal ve kültürel gıda çeşitliliği çok daha geniştir. Bilimsel literatürde belgelenen birçok yerel gıda, yöresel ürün ve ürün varyantı USDA FoodData Central veya EuroFIR gibi uluslararası gıda bileşimi veri tabanlarında bulunmamaktadır.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ve çıkarım katmanına göre tabakalı rastgele örnekleme ile yürütülecektir. Denetimde hedefin üzerinde hata örüntüsü görülürse ilgili sınıf için otomatik kabul eşiği yükseltilecek ve etkilenen kayıtlar L5 uzman doğrulamasına yönlendirilecektir.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Sorumlu Ekip</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≥500.000 gıda-besin kaydı; API yayında (&lt;200 ms p95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 Planı / Yönetim Yaklaşımı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8"/>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Altyapı / Erişim Kanalı</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8"/>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8"/>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Öngörülen 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Sürdürülebilirlik</w:t>
            </w:r>
          </w:p>
        </w:tc>
        <w:tc>
          <w:tcPr>
            <w:tcW w:type="dxa" w:w="3544"/>
            <w:vAlign w:val="top"/>
          </w:tcPr>
          <w:p>
            <w:pPr>
              <w:spacing w:after="40" w:line="240" w:lineRule="auto"/>
            </w:pPr>
          </w:p>
          <w:p>
            <w:pPr>
              <w:spacing w:after="40" w:before="0" w:line="240" w:lineRule="auto"/>
            </w:pPr>
            <w:r>
              <w:rPr>
                <w:rFonts w:ascii="Arial" w:hAnsi="Arial" w:eastAsia="Arial"/>
                <w:sz w:val="18"/>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Veri lisanslama, API aboneliği ve doğrulama motoru uyarlamasıyla iki ana gelir kanalı.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İstihdam</w:t>
            </w:r>
          </w:p>
        </w:tc>
        <w:tc>
          <w:tcPr>
            <w:tcW w:type="dxa" w:w="3544"/>
            <w:vAlign w:val="top"/>
          </w:tcPr>
          <w:p>
            <w:pPr>
              <w:spacing w:after="40" w:line="240" w:lineRule="auto"/>
            </w:pPr>
          </w:p>
          <w:p>
            <w:pPr>
              <w:spacing w:after="40" w:before="0" w:line="240" w:lineRule="auto"/>
            </w:pPr>
            <w:r>
              <w:rPr>
                <w:rFonts w:ascii="Arial" w:hAnsi="Arial" w:eastAsia="Arial"/>
                <w:sz w:val="18"/>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Rekabetçilik</w:t>
            </w:r>
          </w:p>
        </w:tc>
        <w:tc>
          <w:tcPr>
            <w:tcW w:type="dxa" w:w="3544"/>
            <w:vAlign w:val="top"/>
          </w:tcPr>
          <w:p>
            <w:pPr>
              <w:spacing w:after="40" w:line="240" w:lineRule="auto"/>
            </w:pPr>
          </w:p>
          <w:p>
            <w:pPr>
              <w:spacing w:after="40" w:before="0" w:line="240" w:lineRule="auto"/>
            </w:pPr>
            <w:r>
              <w:rPr>
                <w:rFonts w:ascii="Arial" w:hAnsi="Arial" w:eastAsia="Arial"/>
                <w:sz w:val="18"/>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8"/>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ve Süre</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16.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