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işlenerek aday/çıkarım havuzuna alınacak; ≥250.000 kayıt, faydalı bileşim verisi içeren alt kümeden otomatik üretilecek; ≥5.000 makale ve ≥25.000 kayıt ise uzman doğrulamalı altın standart bölümünü oluşturacaktır. Veri içeren makale başına ~6,8 kayıt yoğunluğunda, 5.000 makalelik uzman doğrulamalı bölüm rahatlıkla ≥25.000 kayıt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kalemden oluşur: makale başına bir defalık otomatik işleme maliyeti (Hedef 1'de proje sonunda &lt;$0,01 hedeflenir) ve API'yi ayakta tutan tekrarlayan altyapı maliyeti (Bölüm 3.4'te proje sonrası ~12.500 TL/yıl). Bu düşük tutar, proje donanımı edinildikten sonraki değişken işleme/sunum maliyetini ifade eder; personel, satış, destek ve donanım amortismanı ticari fiyatlandırmada ayrıca dikkate alınacaktır. Çıkarım maliyeti bir kayıt için yalnızca bir kez oluşur; üretilen kayıt çok sayıda API çağrısına neredeyse maliyetsiz biçimde yeniden sunulabildiğinden çağrı başına marjinal sunum maliyeti çok düşüktür. Bu yapı kademeli bir gelir modeline olanak tanır: ücretsiz akademik erişim, kullanım hacmine göre fiyatlanan ticari API abonelikleri ve toplu veri/lisans anlaşmaları. Gösterge niteliğindeki bir değerlendirmeyle, yıllık tekrarlayan işletme maliyetinin karşılanması yalnızca birkaç orta ölçekli kurumsal aboneliği gerektirir; bu nedenle başabaş noktasının düşük bir müşteri sayısında ulaşılabilir olduğu öngörülmektedir. Kesin fiyat kademeleri, çağrı başına sunum maliyeti ve ayrıntılı başabaş analizi; pilot sonuçlarına ve değerlendirme dönemindeki güncel model ve altyapı fiyatlarına göre Bölüm 6.3'teki ürünleşme yol haritasında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eğitim, kalibrasyon ve denetim payı düşüldükten sonra etkin kalan ~12 ay boyunca yaklaşık 2 × 10 × 21 × 12 ≈ 5.000 tekil inceleme tamamlanır; küçük çift-inceleme örneklemi bu sayının üzerine sınırlı bir ek yük getirir. Veri içeren makale başına ~6,8 kayıt yoğunluğunda bu, ≥25.000 altın standart kayda karşılık gelir. Kapasite makale/gün yerine inceleme-dakikası üzerinden bütçelenir; bağlayıcı olan en pahalı kaynak uzman doğrulamasıdır. Aktif öğrenme kuyruğu, insan incelemesini en yüksek eğitim değeri taşıyan örneklere yönlendirir;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hazır/dışarıdan erişilen modellerden, yerel iş istasyonunda geliştirilip TRUBA'da toplu olarak eğitilen ve çalıştırılan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yürütülmektedir; ancak mevcut prototipte bu modele bir hizmet sağlayıcının API'si üzerinden erişilmektedir. Çekirdek çıkarımın, kapalı ticari API yerine ağırlıkları açık modellerle yürütülmesi proje kapsamındaki adımdır; yazılım geliştirme ve hata ayıklama yerel GPU iş istasyonunda yapılır, ağır toplu çıkarım ile model eğitimi/ince ayarı ise (30-70B tam ince ayar dâhil) sözleşmeyle tahsis edilen TRUBA H100/H200 kaynaklarına derlenmiş toplu işler olarak gönderilir (geliştir → toplu işi gönder → sonuçları al). TRUBA, ARDEB projeleri için 2026 akademik tarifesinde ~13,28 TL/GPU-saat (KDV hariç) ile ticari buluta göre kat kat ucuz olan ve proje kabulünde imzalanan sözleşmeyle güvenceye alınan birincil ağır-hesaplama kaynağıdır (bkz. Bölüm 5.3, EK-2). Bu geçiş yeni bir yetenek değil düşük riskli bir genişletmedir, çünkü ağırlıkları açık modeller kapalı ticari API'lerin aksine indirilip kurum denetimindeki donanımda barındırılabilir. Bu yerinde dağıtım, Bölüm 6.2'de tanımlanan veri egemenliği kazanımını doğrudan güçlendirir.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Sınırlı ticari API yalnızca L4 yükseltmesi, yerel iş istasyonu ise geliştirme ve yedek yürütme için kullanılır.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 ile yürütülecektir. &lt;%0,5 hata hedefinin istatistiksel olarak desteklenebilmesi için her denetim döngüsünde bir taban örneklem büyüklüğü uygulanır: binom güven aralığı mantığıyla, sıfır hatalı gözlemde tek taraflı %95 üst güven sınırı yaklaşık 3/n'dir ("üçler kuralı") ve n≈600'de bu sınır ~%0,5'e denk gelir. Ancak bu yalnızca bağımsız gözlemler için geçerlidir; aynı makaleden gelen kayıtlar kümelenmiş (bağımlı) olduğundan örneklem makale (küme) düzeyinde çekilir ve etkin örneklem büyüklüğü tasarım etkisiyle düzeltilir. Bu nedenle, tasarım etkisi ve tolere edilen hata sayısı dikkate alınarak döngü başına taban örneklem, yeterince çok sayıda farklı makaleye yayılacak biçimde ~1.000-1.500 kayda çıkarılır; güven aralıkları kümelenmeyi hesaba katan küme-bootstrap yöntemiyle hesaplanır ve önceden tanımlanmış sabit bir denetim sıklığıyla raporlanır. Bu taban örneklem küresel orana ilişkindir; tabakalandırma, örneklemi sınıflara dağıtmak ve sınıflar arası farklılıkları saptamak için kullanılır, her tabakaya ayrı bir %0,5 garantisi vermez. Yüksek riskli tabakalarda (karmaşık tablolar, taranmış/OCR gerektiren PDF'ler, Türkçe yayınlar ve yeni model sürümleri gibi) hedefli aşırı örnekleme yapılır. Sayısal yükseltme kuralı: bir tabakanın gözlemlenen hata oranına ait %95 güven aralığının üst sınırı %0,5'i aştığında, o tabaka için otomatik kabul eşiği yükseltilir ve etkilenen kayıtlar L5 uzman doğrulamasına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Prof. Dr. Murat Ceylan (Yürütücü) | Bilimsel/teknik koordinasyon, ileri bileşen liderliği | ✓ | ✓ | ✓ | ✓ | ✓ | ~%20 | | Prof. Dr. S. G. Şumnu (Araştırmacı) | Gıda bilimi doğrulama protokolü ve tahkim | ✓ | ✓ |  | ✓ | ✓ | ~%15 | | Dr. Engin Esme (Araştırmacı) | ML/sistem mimarisi; yönlendirici ve RLHF teknik liderliği |  | ✓ | ✓ | ✓ | ✓ | ~%20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Dr. Engin Esme ve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Sürdürülebilirlik</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çeşitlendirilmiş gelir kanalları.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İstihdam</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(gelir ve finansman kilometre taşlarına bağlı; muhafazakâr senaryoda daha düşük tutulur);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Rekabetçilik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16.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