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opennutri-reviewer-sop-english"/>
      <w:r>
        <w:t xml:space="preserve">OpenNutri Reviewer SOP (English)</w:t>
      </w:r>
      <w:bookmarkEnd w:id="20"/>
    </w:p>
    <w:p>
      <w:pPr>
        <w:pStyle w:val="FirstParagraph"/>
      </w:pPr>
      <w:r>
        <w:t xml:space="preserve">Last verified: 2026-04-27 against the live reviewer surfaces in</w:t>
      </w:r>
      <w:r>
        <w:t xml:space="preserve"> </w:t>
      </w:r>
      <w:r>
        <w:rPr>
          <w:rStyle w:val="VerbatimChar"/>
        </w:rPr>
        <w:t xml:space="preserve">apps/expert-annotator/src/pages/Annotate.jsx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apps/expert-annotator/src/components/PdfViewer.jsx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apps/expert-annotator/src/components/FoodItemForm.jsx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apps/expert-annotator/src/components/FoodAutocomplete.jsx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apps/expert-annotator/src/components/NutrientAutocomplete.jsx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apps/expert-annotator/src/components/NutrientPopover.jsx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apps/expert-annotator/migration.sql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services/data-pipeline/scripts/refill_assignment_queue.py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services/data-pipeline/ai_routing.py</w:t>
      </w:r>
      <w:r>
        <w:t xml:space="preserve">.</w:t>
      </w:r>
    </w:p>
    <w:p>
      <w:pPr>
        <w:pStyle w:val="Heading2"/>
      </w:pPr>
      <w:bookmarkStart w:id="21" w:name="what-this-work-is"/>
      <w:r>
        <w:t xml:space="preserve">What this work is</w:t>
      </w:r>
      <w:bookmarkEnd w:id="21"/>
    </w:p>
    <w:p>
      <w:pPr>
        <w:pStyle w:val="FirstParagraph"/>
      </w:pPr>
      <w:r>
        <w:t xml:space="preserve">OpenNutri is building benchmark-quality food composition truth from scientific papers.</w:t>
      </w:r>
    </w:p>
    <w:p>
      <w:pPr>
        <w:pStyle w:val="BodyText"/>
      </w:pPr>
      <w:r>
        <w:t xml:space="preserve">AI does not replace you. The live system still routes many papers to humans because benchmark truth depends on exact, database-shaped extraction payloads, not</w:t>
      </w:r>
      <w:r>
        <w:t xml:space="preserve"> </w:t>
      </w:r>
      <w:r>
        <w:t xml:space="preserve">“</w:t>
      </w:r>
      <w:r>
        <w:t xml:space="preserve">close enough</w:t>
      </w:r>
      <w:r>
        <w:t xml:space="preserve">”</w:t>
      </w:r>
      <w:r>
        <w:t xml:space="preserve"> </w:t>
      </w:r>
      <w:r>
        <w:t xml:space="preserve">interpretation. Final agreement is decided from exact canonical submission payloads, so small mistakes create real disagreements.</w:t>
      </w:r>
    </w:p>
    <w:p>
      <w:pPr>
        <w:pStyle w:val="BodyText"/>
      </w:pPr>
      <w:r>
        <w:t xml:space="preserve">When a paper reaches your queue, it is already</w:t>
      </w:r>
      <w:r>
        <w:t xml:space="preserve"> </w:t>
      </w:r>
      <w:r>
        <w:rPr>
          <w:rStyle w:val="VerbatimChar"/>
        </w:rPr>
        <w:t xml:space="preserve">human_review_ready</w:t>
      </w:r>
      <w:r>
        <w:t xml:space="preserve">. That means it has passed ingest and AI routing and is waiting for human review.</w:t>
      </w:r>
    </w:p>
    <w:p>
      <w:pPr>
        <w:pStyle w:val="BodyText"/>
      </w:pPr>
      <w:r>
        <w:t xml:space="preserve">You do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work from a shared global paper list. You work only from your personal</w:t>
      </w:r>
      <w:r>
        <w:t xml:space="preserve"> </w:t>
      </w:r>
      <w:r>
        <w:rPr>
          <w:rStyle w:val="VerbatimChar"/>
        </w:rPr>
        <w:t xml:space="preserve">My Queue</w:t>
      </w:r>
      <w:r>
        <w:t xml:space="preserve">.</w:t>
      </w:r>
    </w:p>
    <w:p>
      <w:pPr>
        <w:pStyle w:val="Heading2"/>
      </w:pPr>
      <w:bookmarkStart w:id="22" w:name="non-negotiable-rules"/>
      <w:r>
        <w:t xml:space="preserve">Non-negotiable rules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Extract only what the paper explicitly reports.</w:t>
      </w:r>
    </w:p>
    <w:p>
      <w:pPr>
        <w:numPr>
          <w:ilvl w:val="0"/>
          <w:numId w:val="1001"/>
        </w:numPr>
        <w:pStyle w:val="Compact"/>
      </w:pPr>
      <w:r>
        <w:t xml:space="preserve">Keep the paper’s real food groupings. Do not silently merge, split, or rename foods beyond what the table supports.</w:t>
      </w:r>
    </w:p>
    <w:p>
      <w:pPr>
        <w:numPr>
          <w:ilvl w:val="0"/>
          <w:numId w:val="1001"/>
        </w:numPr>
        <w:pStyle w:val="Compact"/>
      </w:pPr>
      <w:r>
        <w:t xml:space="preserve">Prefer matched foods and matched nutrients from autocomplete. Use custom names only when the exact catalog entry is missing.</w:t>
      </w:r>
    </w:p>
    <w:p>
      <w:pPr>
        <w:numPr>
          <w:ilvl w:val="0"/>
          <w:numId w:val="1001"/>
        </w:numPr>
        <w:pStyle w:val="Compact"/>
      </w:pPr>
      <w:r>
        <w:t xml:space="preserve">Do not silently convert unsupported bases such as</w:t>
      </w:r>
      <w:r>
        <w:t xml:space="preserve"> </w:t>
      </w:r>
      <w:r>
        <w:rPr>
          <w:rStyle w:val="VerbatimChar"/>
        </w:rPr>
        <w:t xml:space="preserve">per serving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per 100 mL</w:t>
      </w:r>
      <w:r>
        <w:t xml:space="preserve">, dry-weight basis, wet-weight basis, or similar alternate bases into</w:t>
      </w:r>
      <w:r>
        <w:t xml:space="preserve"> </w:t>
      </w:r>
      <w:r>
        <w:rPr>
          <w:rStyle w:val="VerbatimChar"/>
        </w:rPr>
        <w:t xml:space="preserve">per 100g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If you submit usable data, include real numeric nutrient rows. Do not send a</w:t>
      </w:r>
      <w:r>
        <w:t xml:space="preserve"> </w:t>
      </w:r>
      <w:r>
        <w:t xml:space="preserve">“</w:t>
      </w:r>
      <w:r>
        <w:t xml:space="preserve">useful</w:t>
      </w:r>
      <w:r>
        <w:t xml:space="preserve">”</w:t>
      </w:r>
      <w:r>
        <w:t xml:space="preserve"> </w:t>
      </w:r>
      <w:r>
        <w:t xml:space="preserve">submission that only has food names.</w:t>
      </w:r>
    </w:p>
    <w:p>
      <w:pPr>
        <w:numPr>
          <w:ilvl w:val="0"/>
          <w:numId w:val="1001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Definitely No Data</w:t>
      </w:r>
      <w:r>
        <w:t xml:space="preserve"> </w:t>
      </w:r>
      <w:r>
        <w:t xml:space="preserve">only when you are confident the whole paper is globally unusable for every reviewer lane.</w:t>
      </w:r>
    </w:p>
    <w:p>
      <w:pPr>
        <w:numPr>
          <w:ilvl w:val="0"/>
          <w:numId w:val="1001"/>
        </w:numPr>
        <w:pStyle w:val="Compact"/>
      </w:pPr>
      <w:r>
        <w:t xml:space="preserve">If you are unsure about policy, ask the owner instead of inventing a rule.</w:t>
      </w:r>
    </w:p>
    <w:p>
      <w:pPr>
        <w:pStyle w:val="Heading2"/>
      </w:pPr>
      <w:bookmarkStart w:id="23" w:name="queue-walkthrough"/>
      <w:r>
        <w:t xml:space="preserve">Queue walkthrough</w:t>
      </w:r>
      <w:bookmarkEnd w:id="23"/>
    </w:p>
    <w:p>
      <w:pPr>
        <w:pStyle w:val="Heading3"/>
      </w:pPr>
      <w:bookmarkStart w:id="24" w:name="my-queue"/>
      <w:r>
        <w:rPr>
          <w:rStyle w:val="VerbatimChar"/>
        </w:rPr>
        <w:t xml:space="preserve">My Queue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My Queue</w:t>
      </w:r>
      <w:r>
        <w:t xml:space="preserve"> </w:t>
      </w:r>
      <w:r>
        <w:t xml:space="preserve">is your personal assignment list.</w:t>
      </w:r>
    </w:p>
    <w:p>
      <w:pPr>
        <w:numPr>
          <w:ilvl w:val="0"/>
          <w:numId w:val="1002"/>
        </w:numPr>
        <w:pStyle w:val="Compact"/>
      </w:pPr>
      <w:r>
        <w:t xml:space="preserve">Assignment statuses in the live UI are</w:t>
      </w:r>
      <w:r>
        <w:t xml:space="preserve"> </w:t>
      </w:r>
      <w:r>
        <w:rPr>
          <w:rStyle w:val="VerbatimChar"/>
        </w:rPr>
        <w:t xml:space="preserve">Assigned</w:t>
      </w:r>
      <w:r>
        <w:t xml:space="preserve">,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Submitted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Conflict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Resolved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Assigned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are editable.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Submitted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Conflict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Resolved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 </w:t>
      </w:r>
      <w:r>
        <w:t xml:space="preserve">are not editable in normal live review.</w:t>
      </w:r>
    </w:p>
    <w:p>
      <w:pPr>
        <w:pStyle w:val="Heading3"/>
      </w:pPr>
      <w:bookmarkStart w:id="25" w:name="pdf-pane-and-nutrient-popover"/>
      <w:r>
        <w:t xml:space="preserve">PDF pane and nutrient popover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The PDF pane shows the paper PDF and a page counter.</w:t>
      </w:r>
    </w:p>
    <w:p>
      <w:pPr>
        <w:numPr>
          <w:ilvl w:val="0"/>
          <w:numId w:val="1003"/>
        </w:numPr>
        <w:pStyle w:val="Compact"/>
      </w:pPr>
      <w:r>
        <w:t xml:space="preserve">Nutrient highlighting is precision-first and table-only. Some real nutrient mentions will intentionally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highlight, especially on continuation pages or prose-heavy pages.</w:t>
      </w:r>
    </w:p>
    <w:p>
      <w:pPr>
        <w:numPr>
          <w:ilvl w:val="0"/>
          <w:numId w:val="1003"/>
        </w:numPr>
        <w:pStyle w:val="Compact"/>
      </w:pPr>
      <w:r>
        <w:t xml:space="preserve">Click a highlighted nutrient name to open the popover.</w:t>
      </w:r>
    </w:p>
    <w:p>
      <w:pPr>
        <w:numPr>
          <w:ilvl w:val="0"/>
          <w:numId w:val="1003"/>
        </w:numPr>
        <w:pStyle w:val="Compact"/>
      </w:pPr>
      <w:r>
        <w:t xml:space="preserve">In the popover, enter the value, choose the unit, and click `+ Add`.</w:t>
      </w:r>
    </w:p>
    <w:p>
      <w:pPr>
        <w:numPr>
          <w:ilvl w:val="0"/>
          <w:numId w:val="1003"/>
        </w:numPr>
        <w:pStyle w:val="Compact"/>
      </w:pPr>
      <w:r>
        <w:t xml:space="preserve">Missing highlight is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proof that the row should be ignored. Read the table manually when needed.</w:t>
      </w:r>
    </w:p>
    <w:p>
      <w:pPr>
        <w:pStyle w:val="Heading3"/>
      </w:pPr>
      <w:bookmarkStart w:id="26" w:name="food-and-nutrient-entry"/>
      <w:r>
        <w:t xml:space="preserve">Food and nutrient entry</w:t>
      </w:r>
      <w:bookmarkEnd w:id="26"/>
    </w:p>
    <w:p>
      <w:pPr>
        <w:numPr>
          <w:ilvl w:val="0"/>
          <w:numId w:val="1004"/>
        </w:numPr>
        <w:pStyle w:val="Compact"/>
      </w:pPr>
      <w:r>
        <w:t xml:space="preserve">Each</w:t>
      </w:r>
      <w:r>
        <w:t xml:space="preserve"> </w:t>
      </w:r>
      <w:r>
        <w:rPr>
          <w:rStyle w:val="VerbatimChar"/>
        </w:rPr>
        <w:t xml:space="preserve">Food Item</w:t>
      </w:r>
      <w:r>
        <w:t xml:space="preserve"> </w:t>
      </w:r>
      <w:r>
        <w:t xml:space="preserve">card should represent one real food or table line grouping.</w:t>
      </w:r>
    </w:p>
    <w:p>
      <w:pPr>
        <w:numPr>
          <w:ilvl w:val="0"/>
          <w:numId w:val="1004"/>
        </w:numPr>
        <w:pStyle w:val="Compact"/>
      </w:pPr>
      <w:r>
        <w:t xml:space="preserve">The food search box is</w:t>
      </w:r>
      <w:r>
        <w:t xml:space="preserve"> </w:t>
      </w:r>
      <w:r>
        <w:rPr>
          <w:rStyle w:val="VerbatimChar"/>
        </w:rPr>
        <w:t xml:space="preserve">Search food name...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✓ Matched</w:t>
      </w:r>
      <w:r>
        <w:t xml:space="preserve"> </w:t>
      </w:r>
      <w:r>
        <w:t xml:space="preserve">means the food is linked to a catalog food.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Custom</w:t>
      </w:r>
      <w:r>
        <w:t xml:space="preserve"> </w:t>
      </w:r>
      <w:r>
        <w:t xml:space="preserve">means you are using free text.</w:t>
      </w:r>
    </w:p>
    <w:p>
      <w:pPr>
        <w:numPr>
          <w:ilvl w:val="0"/>
          <w:numId w:val="1004"/>
        </w:numPr>
        <w:pStyle w:val="Compact"/>
      </w:pPr>
      <w:r>
        <w:t xml:space="preserve">Use `+ Add Another Food Item` only for a genuinely separate food item.</w:t>
      </w:r>
    </w:p>
    <w:p>
      <w:pPr>
        <w:numPr>
          <w:ilvl w:val="0"/>
          <w:numId w:val="1004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🔍 Add nutrient...</w:t>
      </w:r>
      <w:r>
        <w:t xml:space="preserve"> </w:t>
      </w:r>
      <w:r>
        <w:t xml:space="preserve">to add a nutrient row.</w:t>
      </w:r>
    </w:p>
    <w:p>
      <w:pPr>
        <w:numPr>
          <w:ilvl w:val="0"/>
          <w:numId w:val="1004"/>
        </w:numPr>
        <w:pStyle w:val="Compact"/>
      </w:pPr>
      <w:r>
        <w:t xml:space="preserve">If nutrient autocomplete has no correct option, pressing Enter creates a custom nutrient.</w:t>
      </w:r>
    </w:p>
    <w:p>
      <w:pPr>
        <w:numPr>
          <w:ilvl w:val="0"/>
          <w:numId w:val="1004"/>
        </w:numPr>
        <w:pStyle w:val="Compact"/>
      </w:pPr>
      <w:r>
        <w:t xml:space="preserve">Every nutrient row should end with a numeric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and a valid unit.</w:t>
      </w:r>
    </w:p>
    <w:p>
      <w:pPr>
        <w:pStyle w:val="Heading3"/>
      </w:pPr>
      <w:bookmarkStart w:id="27" w:name="save-and-final-actions"/>
      <w:r>
        <w:t xml:space="preserve">Save and final actions</w:t>
      </w:r>
      <w:bookmarkEnd w:id="27"/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Save Draft</w:t>
      </w:r>
      <w:r>
        <w:t xml:space="preserve">: saves editable work and keeps the assignment open.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No Usable Data</w:t>
      </w:r>
      <w:r>
        <w:t xml:space="preserve">: sends a final negative submission for your lane only.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Definitely No Data</w:t>
      </w:r>
      <w:r>
        <w:t xml:space="preserve">: sends a global paper-level negative decision, requires a reason, cancels the other assignments, and finalizes negative truth immediately.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Submit Final Extraction</w:t>
      </w:r>
      <w:r>
        <w:t xml:space="preserve">: sends a final usable extraction.</w:t>
      </w:r>
    </w:p>
    <w:p>
      <w:pPr>
        <w:pStyle w:val="FirstParagraph"/>
      </w:pPr>
      <w:r>
        <w:t xml:space="preserve">If the UI shows</w:t>
      </w:r>
      <w:r>
        <w:t xml:space="preserve"> </w:t>
      </w:r>
      <w:r>
        <w:rPr>
          <w:rStyle w:val="VerbatimChar"/>
        </w:rPr>
        <w:t xml:space="preserve">This assignment is finalized. You can inspect it here, but new edits will not be saved.</w:t>
      </w:r>
      <w:r>
        <w:t xml:space="preserve">, treat the paper as read-only.</w:t>
      </w:r>
    </w:p>
    <w:p>
      <w:pPr>
        <w:pStyle w:val="BodyText"/>
      </w:pPr>
      <w:r>
        <w:t xml:space="preserve">If the UI shows</w:t>
      </w:r>
      <w:r>
        <w:t xml:space="preserve"> </w:t>
      </w:r>
      <w:r>
        <w:rPr>
          <w:rStyle w:val="VerbatimChar"/>
        </w:rPr>
        <w:t xml:space="preserve">Developer training mode is read-only for annotation and admin actions.</w:t>
      </w:r>
      <w:r>
        <w:t xml:space="preserve">, you are not in live reviewer mode.</w:t>
      </w:r>
    </w:p>
    <w:p>
      <w:pPr>
        <w:pStyle w:val="Heading2"/>
      </w:pPr>
      <w:bookmarkStart w:id="28" w:name="practical-submission-contract"/>
      <w:r>
        <w:t xml:space="preserve">Practical submission contract</w:t>
      </w:r>
      <w:bookmarkEnd w:id="28"/>
    </w:p>
    <w:p>
      <w:pPr>
        <w:pStyle w:val="FirstParagraph"/>
      </w:pPr>
      <w:r>
        <w:t xml:space="preserve">The live system stores reviewer truth in a strict payload shape. In practical reviewer terms:</w:t>
      </w:r>
    </w:p>
    <w:p>
      <w:pPr>
        <w:pStyle w:val="Heading3"/>
      </w:pPr>
      <w:bookmarkStart w:id="29" w:name="decision_kind"/>
      <w:r>
        <w:rPr>
          <w:rStyle w:val="VerbatimChar"/>
        </w:rPr>
        <w:t xml:space="preserve">decision_kind</w:t>
      </w:r>
      <w:bookmarkEnd w:id="29"/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has_data</w:t>
      </w:r>
      <w:r>
        <w:t xml:space="preserve"> </w:t>
      </w:r>
      <w:r>
        <w:t xml:space="preserve">means the paper produced a usable extraction.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no_usable_data</w:t>
      </w:r>
      <w:r>
        <w:t xml:space="preserve"> </w:t>
      </w:r>
      <w:r>
        <w:t xml:space="preserve">means the paper did not produce a usable extraction.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No Usable Data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Definitely No Data</w:t>
      </w:r>
      <w:r>
        <w:t xml:space="preserve"> </w:t>
      </w:r>
      <w:r>
        <w:t xml:space="preserve">both end as</w:t>
      </w:r>
      <w:r>
        <w:t xml:space="preserve"> </w:t>
      </w:r>
      <w:r>
        <w:rPr>
          <w:rStyle w:val="VerbatimChar"/>
        </w:rPr>
        <w:t xml:space="preserve">decision_kind = no_usable_data</w:t>
      </w:r>
      <w:r>
        <w:t xml:space="preserve">.</w:t>
      </w:r>
    </w:p>
    <w:p>
      <w:pPr>
        <w:pStyle w:val="Heading3"/>
      </w:pPr>
      <w:bookmarkStart w:id="30" w:name="food_items"/>
      <w:r>
        <w:rPr>
          <w:rStyle w:val="VerbatimChar"/>
        </w:rPr>
        <w:t xml:space="preserve">food_items</w:t>
      </w:r>
      <w:bookmarkEnd w:id="30"/>
    </w:p>
    <w:p>
      <w:pPr>
        <w:numPr>
          <w:ilvl w:val="0"/>
          <w:numId w:val="1007"/>
        </w:numPr>
        <w:pStyle w:val="Compact"/>
      </w:pPr>
      <w:r>
        <w:t xml:space="preserve">A usable submission must contain one or more real food items.</w:t>
      </w:r>
    </w:p>
    <w:p>
      <w:pPr>
        <w:numPr>
          <w:ilvl w:val="0"/>
          <w:numId w:val="1007"/>
        </w:numPr>
        <w:pStyle w:val="Compact"/>
      </w:pPr>
      <w:r>
        <w:t xml:space="preserve">Each food item stores: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food_name</w:t>
      </w:r>
    </w:p>
    <w:p>
      <w:pPr>
        <w:numPr>
          <w:ilvl w:val="1"/>
          <w:numId w:val="1008"/>
        </w:numPr>
        <w:pStyle w:val="Compact"/>
      </w:pPr>
      <w:r>
        <w:t xml:space="preserve">optional matched</w:t>
      </w:r>
      <w:r>
        <w:t xml:space="preserve"> </w:t>
      </w:r>
      <w:r>
        <w:rPr>
          <w:rStyle w:val="VerbatimChar"/>
        </w:rPr>
        <w:t xml:space="preserve">food_fdc_id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is_custom_food</w:t>
      </w:r>
    </w:p>
    <w:p>
      <w:pPr>
        <w:numPr>
          <w:ilvl w:val="1"/>
          <w:numId w:val="1008"/>
        </w:numPr>
        <w:pStyle w:val="Compact"/>
      </w:pPr>
      <w:r>
        <w:t xml:space="preserve">a list of nutrient rows</w:t>
      </w:r>
    </w:p>
    <w:p>
      <w:pPr>
        <w:numPr>
          <w:ilvl w:val="0"/>
          <w:numId w:val="1007"/>
        </w:numPr>
        <w:pStyle w:val="Compact"/>
      </w:pPr>
      <w:r>
        <w:t xml:space="preserve">If you select a food from autocomplete, it becomes a matched food.</w:t>
      </w:r>
    </w:p>
    <w:p>
      <w:pPr>
        <w:numPr>
          <w:ilvl w:val="0"/>
          <w:numId w:val="1007"/>
        </w:numPr>
        <w:pStyle w:val="Compact"/>
      </w:pPr>
      <w:r>
        <w:t xml:space="preserve">If you leave it as free text, it becomes a custom food.</w:t>
      </w:r>
    </w:p>
    <w:p>
      <w:pPr>
        <w:pStyle w:val="Heading3"/>
      </w:pPr>
      <w:bookmarkStart w:id="31" w:name="nutrient-rows"/>
      <w:r>
        <w:t xml:space="preserve">Nutrient rows</w:t>
      </w:r>
      <w:bookmarkEnd w:id="31"/>
    </w:p>
    <w:p>
      <w:pPr>
        <w:numPr>
          <w:ilvl w:val="0"/>
          <w:numId w:val="1009"/>
        </w:numPr>
        <w:pStyle w:val="Compact"/>
      </w:pPr>
      <w:r>
        <w:t xml:space="preserve">Each nutrient row stores: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nutrient_name</w:t>
      </w:r>
    </w:p>
    <w:p>
      <w:pPr>
        <w:numPr>
          <w:ilvl w:val="1"/>
          <w:numId w:val="1010"/>
        </w:numPr>
        <w:pStyle w:val="Compact"/>
      </w:pPr>
      <w:r>
        <w:t xml:space="preserve">optional matched</w:t>
      </w:r>
      <w:r>
        <w:t xml:space="preserve"> </w:t>
      </w:r>
      <w:r>
        <w:rPr>
          <w:rStyle w:val="VerbatimChar"/>
        </w:rPr>
        <w:t xml:space="preserve">nutrient_id</w:t>
      </w:r>
    </w:p>
    <w:p>
      <w:pPr>
        <w:numPr>
          <w:ilvl w:val="1"/>
          <w:numId w:val="1010"/>
        </w:numPr>
        <w:pStyle w:val="Compact"/>
      </w:pPr>
      <w:r>
        <w:t xml:space="preserve">numeric</w:t>
      </w:r>
      <w:r>
        <w:t xml:space="preserve"> </w:t>
      </w:r>
      <w:r>
        <w:rPr>
          <w:rStyle w:val="VerbatimChar"/>
        </w:rPr>
        <w:t xml:space="preserve">value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unit</w:t>
      </w:r>
    </w:p>
    <w:p>
      <w:pPr>
        <w:numPr>
          <w:ilvl w:val="0"/>
          <w:numId w:val="1009"/>
        </w:numPr>
        <w:pStyle w:val="Compact"/>
      </w:pPr>
      <w:r>
        <w:t xml:space="preserve">If you select a nutrient from autocomplete, it becomes a matched nutrient.</w:t>
      </w:r>
    </w:p>
    <w:p>
      <w:pPr>
        <w:numPr>
          <w:ilvl w:val="0"/>
          <w:numId w:val="1009"/>
        </w:numPr>
        <w:pStyle w:val="Compact"/>
      </w:pPr>
      <w:r>
        <w:t xml:space="preserve">If you use free text, it becomes a custom nutrient.</w:t>
      </w:r>
    </w:p>
    <w:p>
      <w:pPr>
        <w:numPr>
          <w:ilvl w:val="0"/>
          <w:numId w:val="1009"/>
        </w:numPr>
        <w:pStyle w:val="Compact"/>
      </w:pPr>
      <w:r>
        <w:t xml:space="preserve">Use one row per real food-nutrient value reported in the paper.</w:t>
      </w:r>
    </w:p>
    <w:p>
      <w:pPr>
        <w:pStyle w:val="Heading3"/>
      </w:pPr>
      <w:bookmarkStart w:id="32" w:name="allowed-units-in-the-live-ui"/>
      <w:r>
        <w:t xml:space="preserve">Allowed units in the live UI</w:t>
      </w:r>
      <w:bookmarkEnd w:id="32"/>
    </w:p>
    <w:p>
      <w:pPr>
        <w:pStyle w:val="FirstParagraph"/>
      </w:pPr>
      <w:r>
        <w:t xml:space="preserve">Use only these units: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g/100g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mg/100g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μg/100g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kcal/100g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kJ/100g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IU/100g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%</w:t>
      </w:r>
    </w:p>
    <w:p>
      <w:pPr>
        <w:pStyle w:val="Heading3"/>
      </w:pPr>
      <w:bookmarkStart w:id="33" w:name="basis-rule"/>
      <w:r>
        <w:t xml:space="preserve">Basis rule</w:t>
      </w:r>
      <w:bookmarkEnd w:id="33"/>
    </w:p>
    <w:p>
      <w:pPr>
        <w:pStyle w:val="FirstParagraph"/>
      </w:pPr>
      <w:r>
        <w:t xml:space="preserve">The reviewer UI does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have a separate basis field. The stored contract assumes the basis is already encoded in the unit.</w:t>
      </w:r>
    </w:p>
    <w:p>
      <w:pPr>
        <w:pStyle w:val="BodyText"/>
      </w:pPr>
      <w:r>
        <w:t xml:space="preserve">Only enter a row when the paper already supports one of these cases:</w:t>
      </w:r>
    </w:p>
    <w:p>
      <w:pPr>
        <w:numPr>
          <w:ilvl w:val="0"/>
          <w:numId w:val="1012"/>
        </w:numPr>
        <w:pStyle w:val="Compact"/>
      </w:pPr>
      <w:r>
        <w:t xml:space="preserve">true</w:t>
      </w:r>
      <w:r>
        <w:t xml:space="preserve"> </w:t>
      </w:r>
      <w:r>
        <w:rPr>
          <w:rStyle w:val="VerbatimChar"/>
        </w:rPr>
        <w:t xml:space="preserve">100g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100 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per 100g</w:t>
      </w:r>
      <w:r>
        <w:t xml:space="preserve"> </w:t>
      </w:r>
      <w:r>
        <w:t xml:space="preserve">composition reporting</w:t>
      </w:r>
    </w:p>
    <w:p>
      <w:pPr>
        <w:numPr>
          <w:ilvl w:val="0"/>
          <w:numId w:val="1012"/>
        </w:numPr>
        <w:pStyle w:val="Compact"/>
      </w:pPr>
      <w:r>
        <w:t xml:space="preserve">true composition percentage that belongs in</w:t>
      </w:r>
      <w:r>
        <w:t xml:space="preserve"> </w:t>
      </w:r>
      <w:r>
        <w:rPr>
          <w:rStyle w:val="VerbatimChar"/>
        </w:rPr>
        <w:t xml:space="preserve">%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silently convert these into supported units: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per serving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per portion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per 100 mL</w:t>
      </w:r>
    </w:p>
    <w:p>
      <w:pPr>
        <w:numPr>
          <w:ilvl w:val="0"/>
          <w:numId w:val="1013"/>
        </w:numPr>
        <w:pStyle w:val="Compact"/>
      </w:pPr>
      <w:r>
        <w:t xml:space="preserve">dry-weight basis</w:t>
      </w:r>
    </w:p>
    <w:p>
      <w:pPr>
        <w:numPr>
          <w:ilvl w:val="0"/>
          <w:numId w:val="1013"/>
        </w:numPr>
        <w:pStyle w:val="Compact"/>
      </w:pPr>
      <w:r>
        <w:t xml:space="preserve">wet-weight basis</w:t>
      </w:r>
    </w:p>
    <w:p>
      <w:pPr>
        <w:numPr>
          <w:ilvl w:val="0"/>
          <w:numId w:val="1013"/>
        </w:numPr>
        <w:pStyle w:val="Compact"/>
      </w:pPr>
      <w:r>
        <w:t xml:space="preserve">sample basis</w:t>
      </w:r>
    </w:p>
    <w:p>
      <w:pPr>
        <w:numPr>
          <w:ilvl w:val="0"/>
          <w:numId w:val="1013"/>
        </w:numPr>
        <w:pStyle w:val="Compact"/>
      </w:pPr>
      <w:r>
        <w:t xml:space="preserve">any other unsupported basis</w:t>
      </w:r>
    </w:p>
    <w:p>
      <w:pPr>
        <w:pStyle w:val="FirstParagraph"/>
      </w:pPr>
      <w:r>
        <w:t xml:space="preserve">If a conversion seems tempting, stop and ask first.</w:t>
      </w:r>
    </w:p>
    <w:p>
      <w:pPr>
        <w:pStyle w:val="Heading2"/>
      </w:pPr>
      <w:bookmarkStart w:id="34" w:name="what-to-extract"/>
      <w:r>
        <w:t xml:space="preserve">What to extract</w:t>
      </w:r>
      <w:bookmarkEnd w:id="34"/>
    </w:p>
    <w:p>
      <w:pPr>
        <w:pStyle w:val="FirstParagraph"/>
      </w:pPr>
      <w:r>
        <w:t xml:space="preserve">Extract rows that meet</w:t>
      </w:r>
      <w:r>
        <w:t xml:space="preserve"> </w:t>
      </w:r>
      <w:r>
        <w:rPr>
          <w:b/>
        </w:rPr>
        <w:t xml:space="preserve">all</w:t>
      </w:r>
      <w:r>
        <w:t xml:space="preserve"> </w:t>
      </w:r>
      <w:r>
        <w:t xml:space="preserve">of these conditions:</w:t>
      </w:r>
    </w:p>
    <w:p>
      <w:pPr>
        <w:numPr>
          <w:ilvl w:val="0"/>
          <w:numId w:val="1014"/>
        </w:numPr>
        <w:pStyle w:val="Compact"/>
      </w:pPr>
      <w:r>
        <w:t xml:space="preserve">They are real food composition values.</w:t>
      </w:r>
    </w:p>
    <w:p>
      <w:pPr>
        <w:numPr>
          <w:ilvl w:val="0"/>
          <w:numId w:val="1014"/>
        </w:numPr>
        <w:pStyle w:val="Compact"/>
      </w:pPr>
      <w:r>
        <w:t xml:space="preserve">The paper gives a clear food-to-nutrient mapping.</w:t>
      </w:r>
    </w:p>
    <w:p>
      <w:pPr>
        <w:numPr>
          <w:ilvl w:val="0"/>
          <w:numId w:val="1014"/>
        </w:numPr>
        <w:pStyle w:val="Compact"/>
      </w:pPr>
      <w:r>
        <w:t xml:space="preserve">The value is numeric.</w:t>
      </w:r>
    </w:p>
    <w:p>
      <w:pPr>
        <w:numPr>
          <w:ilvl w:val="0"/>
          <w:numId w:val="1014"/>
        </w:numPr>
        <w:pStyle w:val="Compact"/>
      </w:pPr>
      <w:r>
        <w:t xml:space="preserve">The row can be represented in one of the supported units above.</w:t>
      </w:r>
    </w:p>
    <w:p>
      <w:pPr>
        <w:pStyle w:val="FirstParagraph"/>
      </w:pPr>
      <w:r>
        <w:t xml:space="preserve">Typical extractable examples:</w:t>
      </w:r>
    </w:p>
    <w:p>
      <w:pPr>
        <w:numPr>
          <w:ilvl w:val="0"/>
          <w:numId w:val="1015"/>
        </w:numPr>
        <w:pStyle w:val="Compact"/>
      </w:pPr>
      <w:r>
        <w:t xml:space="preserve">protein, fat, carbohydrate, ash, moisture</w:t>
      </w:r>
    </w:p>
    <w:p>
      <w:pPr>
        <w:numPr>
          <w:ilvl w:val="0"/>
          <w:numId w:val="1015"/>
        </w:numPr>
        <w:pStyle w:val="Compact"/>
      </w:pPr>
      <w:r>
        <w:t xml:space="preserve">energy</w:t>
      </w:r>
    </w:p>
    <w:p>
      <w:pPr>
        <w:numPr>
          <w:ilvl w:val="0"/>
          <w:numId w:val="1015"/>
        </w:numPr>
        <w:pStyle w:val="Compact"/>
      </w:pPr>
      <w:r>
        <w:t xml:space="preserve">vitamins</w:t>
      </w:r>
    </w:p>
    <w:p>
      <w:pPr>
        <w:numPr>
          <w:ilvl w:val="0"/>
          <w:numId w:val="1015"/>
        </w:numPr>
        <w:pStyle w:val="Compact"/>
      </w:pPr>
      <w:r>
        <w:t xml:space="preserve">minerals</w:t>
      </w:r>
    </w:p>
    <w:p>
      <w:pPr>
        <w:numPr>
          <w:ilvl w:val="0"/>
          <w:numId w:val="1015"/>
        </w:numPr>
        <w:pStyle w:val="Compact"/>
      </w:pPr>
      <w:r>
        <w:t xml:space="preserve">fatty acids</w:t>
      </w:r>
    </w:p>
    <w:p>
      <w:pPr>
        <w:numPr>
          <w:ilvl w:val="0"/>
          <w:numId w:val="1015"/>
        </w:numPr>
        <w:pStyle w:val="Compact"/>
      </w:pPr>
      <w:r>
        <w:t xml:space="preserve">amino acids</w:t>
      </w:r>
    </w:p>
    <w:p>
      <w:pPr>
        <w:numPr>
          <w:ilvl w:val="0"/>
          <w:numId w:val="1015"/>
        </w:numPr>
        <w:pStyle w:val="Compact"/>
      </w:pPr>
      <w:r>
        <w:t xml:space="preserve">other genuine composition analytes that fit the supported unit contract</w:t>
      </w:r>
    </w:p>
    <w:p>
      <w:pPr>
        <w:pStyle w:val="Heading2"/>
      </w:pPr>
      <w:bookmarkStart w:id="35" w:name="what-not-to-extract"/>
      <w:r>
        <w:t xml:space="preserve">What not to extract</w:t>
      </w:r>
      <w:bookmarkEnd w:id="35"/>
    </w:p>
    <w:p>
      <w:pPr>
        <w:pStyle w:val="FirstParagraph"/>
      </w:pPr>
      <w:r>
        <w:t xml:space="preserve">Do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extract these as nutrient rows:</w:t>
      </w:r>
    </w:p>
    <w:p>
      <w:pPr>
        <w:numPr>
          <w:ilvl w:val="0"/>
          <w:numId w:val="1016"/>
        </w:numPr>
        <w:pStyle w:val="Compact"/>
      </w:pPr>
      <w:r>
        <w:t xml:space="preserve">clinical outcomes</w:t>
      </w:r>
    </w:p>
    <w:p>
      <w:pPr>
        <w:numPr>
          <w:ilvl w:val="0"/>
          <w:numId w:val="1016"/>
        </w:numPr>
        <w:pStyle w:val="Compact"/>
      </w:pPr>
      <w:r>
        <w:t xml:space="preserve">blood markers</w:t>
      </w:r>
    </w:p>
    <w:p>
      <w:pPr>
        <w:numPr>
          <w:ilvl w:val="0"/>
          <w:numId w:val="1016"/>
        </w:numPr>
        <w:pStyle w:val="Compact"/>
      </w:pPr>
      <w:r>
        <w:t xml:space="preserve">digestibility or bioavailability measures</w:t>
      </w:r>
    </w:p>
    <w:p>
      <w:pPr>
        <w:numPr>
          <w:ilvl w:val="0"/>
          <w:numId w:val="1016"/>
        </w:numPr>
        <w:pStyle w:val="Compact"/>
      </w:pPr>
      <w:r>
        <w:t xml:space="preserve">antioxidant assays such as DPPH, FRAP, ORAC, IC50</w:t>
      </w:r>
    </w:p>
    <w:p>
      <w:pPr>
        <w:numPr>
          <w:ilvl w:val="0"/>
          <w:numId w:val="1016"/>
        </w:numPr>
        <w:pStyle w:val="Compact"/>
      </w:pPr>
      <w:r>
        <w:t xml:space="preserve">pH</w:t>
      </w:r>
    </w:p>
    <w:p>
      <w:pPr>
        <w:numPr>
          <w:ilvl w:val="0"/>
          <w:numId w:val="1016"/>
        </w:numPr>
        <w:pStyle w:val="Compact"/>
      </w:pPr>
      <w:r>
        <w:t xml:space="preserve">color values</w:t>
      </w:r>
    </w:p>
    <w:p>
      <w:pPr>
        <w:numPr>
          <w:ilvl w:val="0"/>
          <w:numId w:val="1016"/>
        </w:numPr>
        <w:pStyle w:val="Compact"/>
      </w:pPr>
      <w:r>
        <w:t xml:space="preserve">texture values</w:t>
      </w:r>
    </w:p>
    <w:p>
      <w:pPr>
        <w:numPr>
          <w:ilvl w:val="0"/>
          <w:numId w:val="1016"/>
        </w:numPr>
        <w:pStyle w:val="Compact"/>
      </w:pPr>
      <w:r>
        <w:t xml:space="preserve">viscosity</w:t>
      </w:r>
    </w:p>
    <w:p>
      <w:pPr>
        <w:numPr>
          <w:ilvl w:val="0"/>
          <w:numId w:val="1016"/>
        </w:numPr>
        <w:pStyle w:val="Compact"/>
      </w:pPr>
      <w:r>
        <w:t xml:space="preserve">yield or process-loss metrics</w:t>
      </w:r>
    </w:p>
    <w:p>
      <w:pPr>
        <w:numPr>
          <w:ilvl w:val="0"/>
          <w:numId w:val="1016"/>
        </w:numPr>
        <w:pStyle w:val="Compact"/>
      </w:pPr>
      <w:r>
        <w:t xml:space="preserve">sensory scores</w:t>
      </w:r>
    </w:p>
    <w:p>
      <w:pPr>
        <w:numPr>
          <w:ilvl w:val="0"/>
          <w:numId w:val="1016"/>
        </w:numPr>
        <w:pStyle w:val="Compact"/>
      </w:pPr>
      <w:r>
        <w:t xml:space="preserve">microbial counts</w:t>
      </w:r>
    </w:p>
    <w:p>
      <w:pPr>
        <w:numPr>
          <w:ilvl w:val="0"/>
          <w:numId w:val="1016"/>
        </w:numPr>
        <w:pStyle w:val="Compact"/>
      </w:pPr>
      <w:r>
        <w:t xml:space="preserve">rows with unsupported units or unsupported bases</w:t>
      </w:r>
    </w:p>
    <w:p>
      <w:pPr>
        <w:numPr>
          <w:ilvl w:val="0"/>
          <w:numId w:val="1016"/>
        </w:numPr>
        <w:pStyle w:val="Compact"/>
      </w:pPr>
      <w:r>
        <w:t xml:space="preserve">any value you had to invent, infer, or derive off-paper</w:t>
      </w:r>
    </w:p>
    <w:p>
      <w:pPr>
        <w:pStyle w:val="FirstParagraph"/>
      </w:pPr>
      <w:r>
        <w:t xml:space="preserve">Important nuance: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Moisture %</w:t>
      </w:r>
      <w:r>
        <w:t xml:space="preserve"> </w:t>
      </w:r>
      <w:r>
        <w:t xml:space="preserve">can be valid because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is a supported composition unit.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pH 3.4</w:t>
      </w:r>
      <w:r>
        <w:t xml:space="preserve"> </w:t>
      </w:r>
      <w:r>
        <w:t xml:space="preserve">is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valid because it is not part of the accepted composition contract.</w:t>
      </w:r>
    </w:p>
    <w:p>
      <w:pPr>
        <w:pStyle w:val="Heading2"/>
      </w:pPr>
      <w:bookmarkStart w:id="36" w:name="choosing-between-the-main-actions"/>
      <w:r>
        <w:t xml:space="preserve">Choosing between the main actions</w:t>
      </w:r>
      <w:bookmarkEnd w:id="36"/>
    </w:p>
    <w:p>
      <w:pPr>
        <w:pStyle w:val="Heading3"/>
      </w:pPr>
      <w:bookmarkStart w:id="37" w:name="use-save-draft-when"/>
      <w:r>
        <w:t xml:space="preserve">Use</w:t>
      </w:r>
      <w:r>
        <w:t xml:space="preserve"> </w:t>
      </w:r>
      <w:r>
        <w:rPr>
          <w:rStyle w:val="VerbatimChar"/>
        </w:rPr>
        <w:t xml:space="preserve">Save Draft</w:t>
      </w:r>
      <w:r>
        <w:t xml:space="preserve"> </w:t>
      </w:r>
      <w:r>
        <w:t xml:space="preserve">when</w:t>
      </w:r>
      <w:bookmarkEnd w:id="37"/>
    </w:p>
    <w:p>
      <w:pPr>
        <w:numPr>
          <w:ilvl w:val="0"/>
          <w:numId w:val="1018"/>
        </w:numPr>
        <w:pStyle w:val="Compact"/>
      </w:pPr>
      <w:r>
        <w:t xml:space="preserve">you are still working through the paper</w:t>
      </w:r>
    </w:p>
    <w:p>
      <w:pPr>
        <w:numPr>
          <w:ilvl w:val="0"/>
          <w:numId w:val="1018"/>
        </w:numPr>
        <w:pStyle w:val="Compact"/>
      </w:pPr>
      <w:r>
        <w:t xml:space="preserve">the table continues across pages</w:t>
      </w:r>
    </w:p>
    <w:p>
      <w:pPr>
        <w:numPr>
          <w:ilvl w:val="0"/>
          <w:numId w:val="1018"/>
        </w:numPr>
        <w:pStyle w:val="Compact"/>
      </w:pPr>
      <w:r>
        <w:t xml:space="preserve">you need time to verify the right food grouping</w:t>
      </w:r>
    </w:p>
    <w:p>
      <w:pPr>
        <w:numPr>
          <w:ilvl w:val="0"/>
          <w:numId w:val="1018"/>
        </w:numPr>
        <w:pStyle w:val="Compact"/>
      </w:pPr>
      <w:r>
        <w:t xml:space="preserve">you are unsure whether a match should be canonical or custom</w:t>
      </w:r>
    </w:p>
    <w:p>
      <w:pPr>
        <w:pStyle w:val="Heading3"/>
      </w:pPr>
      <w:bookmarkStart w:id="38" w:name="use-no-usable-data-when"/>
      <w:r>
        <w:t xml:space="preserve">Use</w:t>
      </w:r>
      <w:r>
        <w:t xml:space="preserve"> </w:t>
      </w:r>
      <w:r>
        <w:rPr>
          <w:rStyle w:val="VerbatimChar"/>
        </w:rPr>
        <w:t xml:space="preserve">No Usable Data</w:t>
      </w:r>
      <w:r>
        <w:t xml:space="preserve"> </w:t>
      </w:r>
      <w:r>
        <w:t xml:space="preserve">when</w:t>
      </w:r>
      <w:bookmarkEnd w:id="38"/>
    </w:p>
    <w:p>
      <w:pPr>
        <w:pStyle w:val="FirstParagraph"/>
      </w:pPr>
      <w:r>
        <w:t xml:space="preserve">Use it for your assignment when the paper does not yield a valid extraction for this lane, for example:</w:t>
      </w:r>
    </w:p>
    <w:p>
      <w:pPr>
        <w:numPr>
          <w:ilvl w:val="0"/>
          <w:numId w:val="1019"/>
        </w:numPr>
        <w:pStyle w:val="Compact"/>
      </w:pPr>
      <w:r>
        <w:t xml:space="preserve">the paper has no supported composition rows</w:t>
      </w:r>
    </w:p>
    <w:p>
      <w:pPr>
        <w:numPr>
          <w:ilvl w:val="0"/>
          <w:numId w:val="1019"/>
        </w:numPr>
        <w:pStyle w:val="Compact"/>
      </w:pPr>
      <w:r>
        <w:t xml:space="preserve">the paper only reports unsupported bases</w:t>
      </w:r>
    </w:p>
    <w:p>
      <w:pPr>
        <w:numPr>
          <w:ilvl w:val="0"/>
          <w:numId w:val="1019"/>
        </w:numPr>
        <w:pStyle w:val="Compact"/>
      </w:pPr>
      <w:r>
        <w:t xml:space="preserve">the paper only has assay or quality metrics</w:t>
      </w:r>
    </w:p>
    <w:p>
      <w:pPr>
        <w:numPr>
          <w:ilvl w:val="0"/>
          <w:numId w:val="1019"/>
        </w:numPr>
        <w:pStyle w:val="Compact"/>
      </w:pPr>
      <w:r>
        <w:t xml:space="preserve">the food-to-nutrient mapping is too unclear to extract safely</w:t>
      </w:r>
    </w:p>
    <w:p>
      <w:pPr>
        <w:numPr>
          <w:ilvl w:val="0"/>
          <w:numId w:val="1019"/>
        </w:numPr>
        <w:pStyle w:val="Compact"/>
      </w:pPr>
      <w:r>
        <w:t xml:space="preserve">the usable data is not actually present in the PDF you received</w:t>
      </w:r>
    </w:p>
    <w:p>
      <w:pPr>
        <w:pStyle w:val="Heading3"/>
      </w:pPr>
      <w:bookmarkStart w:id="39" w:name="use-definitely-no-data-when"/>
      <w:r>
        <w:t xml:space="preserve">Use</w:t>
      </w:r>
      <w:r>
        <w:t xml:space="preserve"> </w:t>
      </w:r>
      <w:r>
        <w:rPr>
          <w:rStyle w:val="VerbatimChar"/>
        </w:rPr>
        <w:t xml:space="preserve">Definitely No Data</w:t>
      </w:r>
      <w:r>
        <w:t xml:space="preserve"> </w:t>
      </w:r>
      <w:r>
        <w:t xml:space="preserve">when</w:t>
      </w:r>
      <w:bookmarkEnd w:id="39"/>
    </w:p>
    <w:p>
      <w:pPr>
        <w:pStyle w:val="FirstParagraph"/>
      </w:pPr>
      <w:r>
        <w:t xml:space="preserve">Use it only when the entire paper is globally unusable and the other reviewer lane should be cancelled now, for example:</w:t>
      </w:r>
    </w:p>
    <w:p>
      <w:pPr>
        <w:numPr>
          <w:ilvl w:val="0"/>
          <w:numId w:val="1020"/>
        </w:numPr>
        <w:pStyle w:val="Compact"/>
      </w:pPr>
      <w:r>
        <w:t xml:space="preserve">wrong paper type</w:t>
      </w:r>
    </w:p>
    <w:p>
      <w:pPr>
        <w:numPr>
          <w:ilvl w:val="0"/>
          <w:numId w:val="1020"/>
        </w:numPr>
        <w:pStyle w:val="Compact"/>
      </w:pPr>
      <w:r>
        <w:t xml:space="preserve">clinical or health-outcome paper with no original food composition data</w:t>
      </w:r>
    </w:p>
    <w:p>
      <w:pPr>
        <w:numPr>
          <w:ilvl w:val="0"/>
          <w:numId w:val="1020"/>
        </w:numPr>
        <w:pStyle w:val="Compact"/>
      </w:pPr>
      <w:r>
        <w:t xml:space="preserve">review paper with no extractable primary composition table</w:t>
      </w:r>
    </w:p>
    <w:p>
      <w:pPr>
        <w:numPr>
          <w:ilvl w:val="0"/>
          <w:numId w:val="1020"/>
        </w:numPr>
        <w:pStyle w:val="Compact"/>
      </w:pPr>
      <w:r>
        <w:t xml:space="preserve">non-food material</w:t>
      </w:r>
    </w:p>
    <w:p>
      <w:pPr>
        <w:numPr>
          <w:ilvl w:val="0"/>
          <w:numId w:val="1020"/>
        </w:numPr>
        <w:pStyle w:val="Compact"/>
      </w:pPr>
      <w:r>
        <w:t xml:space="preserve">broken or irrelevant document that clearly cannot produce usable review truth</w:t>
      </w:r>
    </w:p>
    <w:p>
      <w:pPr>
        <w:pStyle w:val="FirstParagraph"/>
      </w:pPr>
      <w:r>
        <w:t xml:space="preserve">Because this action cancels the other assignments and writes final negative truth immediately, do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use it for borderline cases.</w:t>
      </w:r>
    </w:p>
    <w:p>
      <w:pPr>
        <w:pStyle w:val="Heading3"/>
      </w:pPr>
      <w:bookmarkStart w:id="40" w:name="X0bf4cfa6f4a766fca785022d6784e21a3ebba45"/>
      <w:r>
        <w:t xml:space="preserve">Escalate instead of using a negative action when</w:t>
      </w:r>
      <w:bookmarkEnd w:id="40"/>
    </w:p>
    <w:p>
      <w:pPr>
        <w:numPr>
          <w:ilvl w:val="0"/>
          <w:numId w:val="1021"/>
        </w:numPr>
        <w:pStyle w:val="Compact"/>
      </w:pPr>
      <w:r>
        <w:t xml:space="preserve">one part of the paper looks usable but the basis is awkward</w:t>
      </w:r>
    </w:p>
    <w:p>
      <w:pPr>
        <w:numPr>
          <w:ilvl w:val="0"/>
          <w:numId w:val="1021"/>
        </w:numPr>
        <w:pStyle w:val="Compact"/>
      </w:pPr>
      <w:r>
        <w:t xml:space="preserve">you would need a conversion rule</w:t>
      </w:r>
    </w:p>
    <w:p>
      <w:pPr>
        <w:numPr>
          <w:ilvl w:val="0"/>
          <w:numId w:val="1021"/>
        </w:numPr>
        <w:pStyle w:val="Compact"/>
      </w:pPr>
      <w:r>
        <w:t xml:space="preserve">a continuation page is hard to map</w:t>
      </w:r>
    </w:p>
    <w:p>
      <w:pPr>
        <w:numPr>
          <w:ilvl w:val="0"/>
          <w:numId w:val="1021"/>
        </w:numPr>
        <w:pStyle w:val="Compact"/>
      </w:pPr>
      <w:r>
        <w:t xml:space="preserve">you cannot tell whether a metric is composition or not</w:t>
      </w:r>
    </w:p>
    <w:p>
      <w:pPr>
        <w:numPr>
          <w:ilvl w:val="0"/>
          <w:numId w:val="1021"/>
        </w:numPr>
        <w:pStyle w:val="Compact"/>
      </w:pPr>
      <w:r>
        <w:t xml:space="preserve">the correct food or nutrient match is unclear</w:t>
      </w:r>
    </w:p>
    <w:p>
      <w:pPr>
        <w:numPr>
          <w:ilvl w:val="0"/>
          <w:numId w:val="1021"/>
        </w:numPr>
        <w:pStyle w:val="Compact"/>
      </w:pPr>
      <w:r>
        <w:t xml:space="preserve">the UI appears to be hiding a row because of a highlight bug</w:t>
      </w:r>
    </w:p>
    <w:p>
      <w:pPr>
        <w:pStyle w:val="Heading2"/>
      </w:pPr>
      <w:bookmarkStart w:id="41" w:name="escalation-and-outside-research-rules"/>
      <w:r>
        <w:t xml:space="preserve">Escalation and outside research rules</w:t>
      </w:r>
      <w:bookmarkEnd w:id="41"/>
    </w:p>
    <w:p>
      <w:pPr>
        <w:pStyle w:val="FirstParagraph"/>
      </w:pPr>
      <w:r>
        <w:t xml:space="preserve">Ask the owner instead of improvising when any of these happen:</w:t>
      </w:r>
    </w:p>
    <w:p>
      <w:pPr>
        <w:numPr>
          <w:ilvl w:val="0"/>
          <w:numId w:val="1022"/>
        </w:numPr>
        <w:pStyle w:val="Compact"/>
      </w:pPr>
      <w:r>
        <w:t xml:space="preserve">you need a unit or basis conversion</w:t>
      </w:r>
    </w:p>
    <w:p>
      <w:pPr>
        <w:numPr>
          <w:ilvl w:val="0"/>
          <w:numId w:val="1022"/>
        </w:numPr>
        <w:pStyle w:val="Compact"/>
      </w:pPr>
      <w:r>
        <w:t xml:space="preserve">you want to merge or split foods beyond the paper’s explicit structure</w:t>
      </w:r>
    </w:p>
    <w:p>
      <w:pPr>
        <w:numPr>
          <w:ilvl w:val="0"/>
          <w:numId w:val="1022"/>
        </w:numPr>
        <w:pStyle w:val="Compact"/>
      </w:pPr>
      <w:r>
        <w:t xml:space="preserve">the paper uses a strange nutrient term and you are not sure whether it belongs in the benchmark</w:t>
      </w:r>
    </w:p>
    <w:p>
      <w:pPr>
        <w:numPr>
          <w:ilvl w:val="0"/>
          <w:numId w:val="1022"/>
        </w:numPr>
        <w:pStyle w:val="Compact"/>
      </w:pPr>
      <w:r>
        <w:t xml:space="preserve">two tables in the same paper appear to conflict</w:t>
      </w:r>
    </w:p>
    <w:p>
      <w:pPr>
        <w:numPr>
          <w:ilvl w:val="0"/>
          <w:numId w:val="1022"/>
        </w:numPr>
        <w:pStyle w:val="Compact"/>
      </w:pPr>
      <w:r>
        <w:t xml:space="preserve">the table structure is ambiguous enough that another reviewer could reasonably build a different payload</w:t>
      </w:r>
    </w:p>
    <w:p>
      <w:pPr>
        <w:pStyle w:val="FirstParagraph"/>
      </w:pPr>
      <w:r>
        <w:t xml:space="preserve">Outside research is allowed only as a temporary reading aid for obvious abbreviations or common terminology.</w:t>
      </w:r>
    </w:p>
    <w:p>
      <w:pPr>
        <w:pStyle w:val="BodyText"/>
      </w:pPr>
      <w:r>
        <w:t xml:space="preserve">Outside research is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allowed to:</w:t>
      </w:r>
    </w:p>
    <w:p>
      <w:pPr>
        <w:numPr>
          <w:ilvl w:val="0"/>
          <w:numId w:val="1023"/>
        </w:numPr>
        <w:pStyle w:val="Compact"/>
      </w:pPr>
      <w:r>
        <w:t xml:space="preserve">fill missing values</w:t>
      </w:r>
    </w:p>
    <w:p>
      <w:pPr>
        <w:numPr>
          <w:ilvl w:val="0"/>
          <w:numId w:val="1023"/>
        </w:numPr>
        <w:pStyle w:val="Compact"/>
      </w:pPr>
      <w:r>
        <w:t xml:space="preserve">create new rows</w:t>
      </w:r>
    </w:p>
    <w:p>
      <w:pPr>
        <w:numPr>
          <w:ilvl w:val="0"/>
          <w:numId w:val="1023"/>
        </w:numPr>
        <w:pStyle w:val="Compact"/>
      </w:pPr>
      <w:r>
        <w:t xml:space="preserve">override what the paper actually says</w:t>
      </w:r>
    </w:p>
    <w:p>
      <w:pPr>
        <w:numPr>
          <w:ilvl w:val="0"/>
          <w:numId w:val="1023"/>
        </w:numPr>
        <w:pStyle w:val="Compact"/>
      </w:pPr>
      <w:r>
        <w:t xml:space="preserve">justify a silent conversion</w:t>
      </w:r>
    </w:p>
    <w:p>
      <w:pPr>
        <w:numPr>
          <w:ilvl w:val="0"/>
          <w:numId w:val="1023"/>
        </w:numPr>
        <w:pStyle w:val="Compact"/>
      </w:pPr>
      <w:r>
        <w:t xml:space="preserve">create a new labeling policy without approval</w:t>
      </w:r>
    </w:p>
    <w:p>
      <w:pPr>
        <w:pStyle w:val="FirstParagraph"/>
      </w:pPr>
      <w:r>
        <w:t xml:space="preserve">If outside research changes your judgment in a way that would affect the payload, stop and ask first.</w:t>
      </w:r>
    </w:p>
    <w:p>
      <w:pPr>
        <w:pStyle w:val="Heading2"/>
      </w:pPr>
      <w:bookmarkStart w:id="42" w:name="common-failure-modes"/>
      <w:r>
        <w:t xml:space="preserve">Common failure modes</w:t>
      </w:r>
      <w:bookmarkEnd w:id="42"/>
    </w:p>
    <w:p>
      <w:pPr>
        <w:numPr>
          <w:ilvl w:val="0"/>
          <w:numId w:val="1024"/>
        </w:numPr>
        <w:pStyle w:val="Compact"/>
      </w:pPr>
      <w:r>
        <w:t xml:space="preserve">Wrong basis: entering</w:t>
      </w:r>
      <w:r>
        <w:t xml:space="preserve"> </w:t>
      </w:r>
      <w:r>
        <w:rPr>
          <w:rStyle w:val="VerbatimChar"/>
        </w:rPr>
        <w:t xml:space="preserve">mg/100g</w:t>
      </w:r>
      <w:r>
        <w:t xml:space="preserve"> </w:t>
      </w:r>
      <w:r>
        <w:t xml:space="preserve">when the paper really says</w:t>
      </w:r>
      <w:r>
        <w:t xml:space="preserve"> </w:t>
      </w:r>
      <w:r>
        <w:rPr>
          <w:rStyle w:val="VerbatimChar"/>
        </w:rPr>
        <w:t xml:space="preserve">mg/serving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t xml:space="preserve">Continuation-page confusion: assuming a row ended because the next page did not highlight.</w:t>
      </w:r>
    </w:p>
    <w:p>
      <w:pPr>
        <w:numPr>
          <w:ilvl w:val="0"/>
          <w:numId w:val="1024"/>
        </w:numPr>
        <w:pStyle w:val="Compact"/>
      </w:pPr>
      <w:r>
        <w:t xml:space="preserve">Custom-name overuse: using free text before checking autocomplete carefully.</w:t>
      </w:r>
    </w:p>
    <w:p>
      <w:pPr>
        <w:numPr>
          <w:ilvl w:val="0"/>
          <w:numId w:val="1024"/>
        </w:numPr>
        <w:pStyle w:val="Compact"/>
      </w:pPr>
      <w:r>
        <w:t xml:space="preserve">Missed rows: stopping after a few headline nutrients even though the same food has more supported rows.</w:t>
      </w:r>
    </w:p>
    <w:p>
      <w:pPr>
        <w:numPr>
          <w:ilvl w:val="0"/>
          <w:numId w:val="1024"/>
        </w:numPr>
        <w:pStyle w:val="Compact"/>
      </w:pPr>
      <w:r>
        <w:t xml:space="preserve">Wrong food grouping: collapsing multiple cultivars, treatments, or sample variants into one food item.</w:t>
      </w:r>
    </w:p>
    <w:p>
      <w:pPr>
        <w:numPr>
          <w:ilvl w:val="0"/>
          <w:numId w:val="1024"/>
        </w:numPr>
        <w:pStyle w:val="Compact"/>
      </w:pPr>
      <w:r>
        <w:t xml:space="preserve">Empty useful submission: sending a food card without real nutrient rows.</w:t>
      </w:r>
    </w:p>
    <w:p>
      <w:pPr>
        <w:numPr>
          <w:ilvl w:val="0"/>
          <w:numId w:val="1024"/>
        </w:numPr>
        <w:pStyle w:val="Compact"/>
      </w:pPr>
      <w:r>
        <w:t xml:space="preserve">Unsupported metrics: extracting pH, color, texture, assay scores, or yield as if they were nutrients.</w:t>
      </w:r>
    </w:p>
    <w:p>
      <w:pPr>
        <w:pStyle w:val="Heading2"/>
      </w:pPr>
      <w:bookmarkStart w:id="43" w:name="worked-examples"/>
      <w:r>
        <w:t xml:space="preserve">Worked examples</w:t>
      </w:r>
      <w:bookmarkEnd w:id="43"/>
    </w:p>
    <w:p>
      <w:pPr>
        <w:pStyle w:val="Heading3"/>
      </w:pPr>
      <w:bookmarkStart w:id="44" w:name="good-example"/>
      <w:r>
        <w:t xml:space="preserve">Good example</w:t>
      </w:r>
      <w:bookmarkEnd w:id="44"/>
    </w:p>
    <w:p>
      <w:pPr>
        <w:pStyle w:val="FirstParagraph"/>
      </w:pPr>
      <w:r>
        <w:t xml:space="preserve">Paper table: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Apple peel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Vitamin C 12.4 mg/100g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Iron 0.3 mg/100g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Moisture 81.2%</w:t>
      </w:r>
    </w:p>
    <w:p>
      <w:pPr>
        <w:pStyle w:val="FirstParagraph"/>
      </w:pPr>
      <w:r>
        <w:t xml:space="preserve">Correct action:</w:t>
      </w:r>
    </w:p>
    <w:p>
      <w:pPr>
        <w:numPr>
          <w:ilvl w:val="0"/>
          <w:numId w:val="1026"/>
        </w:numPr>
        <w:pStyle w:val="Compact"/>
      </w:pPr>
      <w:r>
        <w:t xml:space="preserve">Create one food item for</w:t>
      </w:r>
      <w:r>
        <w:t xml:space="preserve"> </w:t>
      </w:r>
      <w:r>
        <w:rPr>
          <w:rStyle w:val="VerbatimChar"/>
        </w:rPr>
        <w:t xml:space="preserve">Apple peel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t xml:space="preserve">Match the food if the exact catalog food exists; otherwise use custom food text.</w:t>
      </w:r>
    </w:p>
    <w:p>
      <w:pPr>
        <w:numPr>
          <w:ilvl w:val="0"/>
          <w:numId w:val="1026"/>
        </w:numPr>
        <w:pStyle w:val="Compact"/>
      </w:pPr>
      <w:r>
        <w:t xml:space="preserve">Add three nutrient rows with the exact paper values and supported units.</w:t>
      </w:r>
    </w:p>
    <w:p>
      <w:pPr>
        <w:numPr>
          <w:ilvl w:val="0"/>
          <w:numId w:val="1026"/>
        </w:numPr>
        <w:pStyle w:val="Compact"/>
      </w:pPr>
      <w:r>
        <w:t xml:space="preserve">Submit with</w:t>
      </w:r>
      <w:r>
        <w:t xml:space="preserve"> </w:t>
      </w:r>
      <w:r>
        <w:rPr>
          <w:rStyle w:val="VerbatimChar"/>
        </w:rPr>
        <w:t xml:space="preserve">Submit Final Extraction</w:t>
      </w:r>
      <w:r>
        <w:t xml:space="preserve">.</w:t>
      </w:r>
    </w:p>
    <w:p>
      <w:pPr>
        <w:pStyle w:val="Heading3"/>
      </w:pPr>
      <w:bookmarkStart w:id="45" w:name="bad-example"/>
      <w:r>
        <w:t xml:space="preserve">Bad example</w:t>
      </w:r>
      <w:bookmarkEnd w:id="45"/>
    </w:p>
    <w:p>
      <w:pPr>
        <w:pStyle w:val="FirstParagraph"/>
      </w:pPr>
      <w:r>
        <w:t xml:space="preserve">Paper table: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Apple juice pH 3.4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L* color 65.2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DPPH inhibition 82%</w:t>
      </w:r>
    </w:p>
    <w:p>
      <w:pPr>
        <w:pStyle w:val="FirstParagraph"/>
      </w:pPr>
      <w:r>
        <w:t xml:space="preserve">Correct action:</w:t>
      </w:r>
    </w:p>
    <w:p>
      <w:pPr>
        <w:numPr>
          <w:ilvl w:val="0"/>
          <w:numId w:val="1028"/>
        </w:numPr>
        <w:pStyle w:val="Compact"/>
      </w:pPr>
      <w:r>
        <w:t xml:space="preserve">Do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enter these as nutrient rows.</w:t>
      </w:r>
    </w:p>
    <w:p>
      <w:pPr>
        <w:numPr>
          <w:ilvl w:val="0"/>
          <w:numId w:val="1028"/>
        </w:numPr>
        <w:pStyle w:val="Compact"/>
      </w:pPr>
      <w:r>
        <w:t xml:space="preserve">If the paper has nothing else usable, choose</w:t>
      </w:r>
      <w:r>
        <w:t xml:space="preserve"> </w:t>
      </w:r>
      <w:r>
        <w:rPr>
          <w:rStyle w:val="VerbatimChar"/>
        </w:rPr>
        <w:t xml:space="preserve">No Usable Data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Definitely No Data</w:t>
      </w:r>
      <w:r>
        <w:t xml:space="preserve"> </w:t>
      </w:r>
      <w:r>
        <w:t xml:space="preserve">depending on whether the whole paper is globally unusable.</w:t>
      </w:r>
    </w:p>
    <w:p>
      <w:pPr>
        <w:pStyle w:val="Heading3"/>
      </w:pPr>
      <w:bookmarkStart w:id="46" w:name="borderline-example"/>
      <w:r>
        <w:t xml:space="preserve">Borderline example</w:t>
      </w:r>
      <w:bookmarkEnd w:id="46"/>
    </w:p>
    <w:p>
      <w:pPr>
        <w:pStyle w:val="FirstParagraph"/>
      </w:pPr>
      <w:r>
        <w:t xml:space="preserve">Paper table: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Banana flour protein 6.2 g/serving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Banana flour iron 1.1 mg/100g</w:t>
      </w:r>
    </w:p>
    <w:p>
      <w:pPr>
        <w:pStyle w:val="FirstParagraph"/>
      </w:pPr>
      <w:r>
        <w:t xml:space="preserve">Correct action:</w:t>
      </w:r>
    </w:p>
    <w:p>
      <w:pPr>
        <w:numPr>
          <w:ilvl w:val="0"/>
          <w:numId w:val="1030"/>
        </w:numPr>
        <w:pStyle w:val="Compact"/>
      </w:pPr>
      <w:r>
        <w:t xml:space="preserve">Keep the supported</w:t>
      </w:r>
      <w:r>
        <w:t xml:space="preserve"> </w:t>
      </w:r>
      <w:r>
        <w:rPr>
          <w:rStyle w:val="VerbatimChar"/>
        </w:rPr>
        <w:t xml:space="preserve">iron 1.1 mg/100g</w:t>
      </w:r>
      <w:r>
        <w:t xml:space="preserve"> </w:t>
      </w:r>
      <w:r>
        <w:t xml:space="preserve">row.</w:t>
      </w:r>
    </w:p>
    <w:p>
      <w:pPr>
        <w:numPr>
          <w:ilvl w:val="0"/>
          <w:numId w:val="1030"/>
        </w:numPr>
        <w:pStyle w:val="Compact"/>
      </w:pPr>
      <w:r>
        <w:t xml:space="preserve">Do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silently convert</w:t>
      </w:r>
      <w:r>
        <w:t xml:space="preserve"> </w:t>
      </w:r>
      <w:r>
        <w:rPr>
          <w:rStyle w:val="VerbatimChar"/>
        </w:rPr>
        <w:t xml:space="preserve">protein 6.2 g/serving</w:t>
      </w:r>
      <w:r>
        <w:t xml:space="preserve">.</w:t>
      </w:r>
    </w:p>
    <w:p>
      <w:pPr>
        <w:numPr>
          <w:ilvl w:val="0"/>
          <w:numId w:val="1030"/>
        </w:numPr>
        <w:pStyle w:val="Compact"/>
      </w:pPr>
      <w:r>
        <w:t xml:space="preserve">If enough supported rows remain to form a real extraction, submit usable data with only the supported rows.</w:t>
      </w:r>
    </w:p>
    <w:p>
      <w:pPr>
        <w:numPr>
          <w:ilvl w:val="0"/>
          <w:numId w:val="1030"/>
        </w:numPr>
        <w:pStyle w:val="Compact"/>
      </w:pPr>
      <w:r>
        <w:t xml:space="preserve">If every row in the paper is unsupported like</w:t>
      </w:r>
      <w:r>
        <w:t xml:space="preserve"> </w:t>
      </w:r>
      <w:r>
        <w:rPr>
          <w:rStyle w:val="VerbatimChar"/>
        </w:rPr>
        <w:t xml:space="preserve">per serving</w:t>
      </w:r>
      <w:r>
        <w:t xml:space="preserve">, use</w:t>
      </w:r>
      <w:r>
        <w:t xml:space="preserve"> </w:t>
      </w:r>
      <w:r>
        <w:rPr>
          <w:rStyle w:val="VerbatimChar"/>
        </w:rPr>
        <w:t xml:space="preserve">No Usable Data</w:t>
      </w:r>
      <w:r>
        <w:t xml:space="preserve">.</w:t>
      </w:r>
    </w:p>
    <w:p>
      <w:pPr>
        <w:pStyle w:val="Heading2"/>
      </w:pPr>
      <w:bookmarkStart w:id="47" w:name="final-reminder"/>
      <w:r>
        <w:t xml:space="preserve">Final reminder</w:t>
      </w:r>
      <w:bookmarkEnd w:id="47"/>
    </w:p>
    <w:p>
      <w:pPr>
        <w:pStyle w:val="FirstParagraph"/>
      </w:pPr>
      <w:r>
        <w:t xml:space="preserve">Your job is not to be clever. Your job is to produce the exact supported extraction that the paper and the live contract can defend.</w:t>
      </w:r>
    </w:p>
    <w:p>
      <w:pPr>
        <w:pStyle w:val="BodyText"/>
      </w:pPr>
      <w:r>
        <w:t xml:space="preserve">When in doubt, ask before you create a rule that could affect benchmark truth.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2026-04-27T14:14:26Z</dcterms:created>
  <dcterms:modified xsi:type="dcterms:W3CDTF">2026-04-27T14:14:26Z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