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Güncel ve güvenilir veriler içeren bir besin veri tabanı, diyet alımlarının doğru hesaplanması için kritik önem arz etmektedir (Schakel ve diğerleri, 1988). Çoğu besin veri tabanı, USDA FoodData Central ve EuroFIR (EuroFIR AISBL, 2024) gibi güvenilir kaynaklardan alınan verilerle ve uzman kürasyonu ile hazırlanmakta; bu süreç, bilimsel literatürdeki verilerin hızla artmasına rağmen hâlâ büyük ölçüde manuel yürütülmektedir.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 (TÜBİTAK MAM Gıda Enstitüsü, 2014; KAMAG 1007), ancak kuruluşundan bu yana sistematik ve büyük ölçekli bir genişlemeye tabi tutulmamıştır. Manuel laboratuvar analizine dayanan bu yaklaşımın, ülkenin geniş tarımsal ve kültürel gıda çeşitliliğini kapsayacak biçimde ölçeklendirilmesi yüksek maliyetlidir.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gibi uluslararası gıda bileşimi veri altyapılarında yeterince temsil edilmemektedir;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sağlayarak laboratuvar analizinin zorunlu olduğu durumların yerine geçmeyi değil, analiz ihtiyacını azaltabilecek ve belgelendirme kalitesini yükseltecek karar süreçlerini hedefler.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doğrulanmış ve düzenleyici uyum süreçlerinde kullanılabilecek ulusal referans veri.</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kapsam, lisans maliyeti veya yerel gıda çeşitliliği açısından yeterli değildir; simit, lahmacun, yöresel yemekler, yerel bakliyat ve tahıl çeşitleri gibi ürünler çoğu zaman ya eksiktir ya da yabancı muadillerle temsil edilir.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doğrulanmış gıda bileşimi veri tabanı sağlık teknolojisi, gıda sanayi ve araştırma kuruluşlarına sunulabilir; kademeli doğrulama motoru ise kendi gıda veri altyapısını dijitalleştirmek isteyen ülke veya kurumlara uyarlanabilir bir teknoloji olarak lisanslanabilir.</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Proje çıktısı, 1005 programının kapsamına uygun olarak bir yöntem/model (Kademeli Hibrit Zekâ çıkarma-doğrulama motoru) ile bunun ürünleşmiş biçimlerini (veri tabanı ve REST API) hedefler;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 Başlangıç: Doğrulama hattı olmayan tek model yaklaşımı; Hedef: Başlangıç sisteminde ≥%95; proje sonunda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 Başlangıç: Güven puanlaması yok; Hedef: Başlangıçta ≥%60; proje sonunda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 Başlangıç: Sistematik denetim yok; Hedef: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 Başlangıç: Lider ticari LLM tekil kullanımı; Hedef: Başlangıçta &lt;$0,03; proje sonunda &lt;$0,01</w:t>
            </w:r>
          </w:p>
          <w:p>
            <w:pPr>
              <w:spacing w:after="40" w:before="0" w:line="240" w:lineRule="auto"/>
            </w:pPr>
            <w:r>
              <w:rPr>
                <w:rFonts w:ascii="Arial" w:hAnsi="Arial" w:eastAsia="Arial"/>
                <w:sz w:val="18"/>
              </w:rPr>
              <w:t>Referans değerler, doğrulama hattı olmadan uygulanan, güçlü bir genel amaçlı ticari LLM'nin tek başına kullanıldığı yaklaşımı temsil eder. Tablodaki başlangıç değerleri ölçülmüş prototip sonuçları değil, ilk kalibrasyon hedefleridir; gerçek otomatik onay doğruluğu WP4 doğrulama günlükleriyle ölçülecektir. Nihai kıyaslama, değerlendirme tarihinde mevcut en güçlü ticari ve ağırlıkları açık modellerle yapılacaktır.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 Google Scholar yalnızca yasal/kurumsal arama ve doğrulama bağlamında yardımcı keşif kaynağı olarak değerlendirilecek; resmi API bulunmadığı için temel otomasyon kaynağı olarak konumlandırılmayacaktır.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işlemek.</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500.000 standartlaştırılmış gıda-besin kaydı çıkarmak (ilgili makale başına ortalama ~5 kayıt varsayımıyla).</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ürünü veya yerel ürün varyantını indekslemek.</w:t>
            </w:r>
          </w:p>
          <w:p>
            <w:pPr>
              <w:spacing w:after="40" w:before="0" w:line="240" w:lineRule="auto"/>
            </w:pPr>
            <w:r>
              <w:rPr>
                <w:rFonts w:ascii="Arial" w:hAnsi="Arial" w:eastAsia="Arial"/>
                <w:sz w:val="18"/>
              </w:rPr>
              <w:t>Bu ölçek hedefleri aynı doğrulama düzeyini ifade etmez: ≥100.000 ilgili makale L1-L3 hattında işlenerek aday/çıkarım havuzuna alınacak; otomatik kayıt hedefi faydalı bileşim verisi içeren alt kümeden üretilecek; ≥5.000 makale ve ≥25.000 kayıt ise uzman doğrulamalı altın standart bölümü oluşturacaktır.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(otomatik onay doğruluğu ≥%99,5, otomatik onay oranı ≥%90, veri tabanı hata oranı &lt;%0,5, makale başına maliyet &lt;$0,01), uzman geri bildirimiyle eğitilen alt katmanların zaman içinde iyileşmesiyle hedeflenir. Maliyet hedefleri otomatik işleme maliyetini ifade eder; uzman doğrulama emeği WP4'te ayrıca bütçelenir. Ölçütlerin tam tanımları Bölüm 4.7.1'dedir. Katmanlar arası öğrenmenin etkisi ayrıca makale başına maliyetin düşmesi, otomatik onay oranının artması ve aynı hata kısıtı korunurken L4/L5'e yönlendirilmesi gereken makale payının değerlendirme döngüleri boyunca azalmasıyla izlenecektir; bu analiz Bölüm 4.7.3'teki öğrenme eğrileri ve yönlendirici pişmanlık ölçümleriyle raporlanacaktır.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veri sunum (sorgu) REST API'sini &lt;200 ms (p95) yanıt süresi ve saniyede ≥100 istek işleme kapasitesiyle devreye almak. Bu hedef, kaynaklı kayıtları sunan veri tabanı/sorgu API'sine ilişkindir; yapay zekâ çıkarım gecikmesi ayrı bir büyüklüktür ve Bölüm 4.3 ile WP3'te ele alınır.</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verileri, gıda ontolojisi, sağlık önerileri ve kişiselleştirilmiş tavsiyeler.; OpenNutri ile Farkı: Tüketici tavsiye platformudur; bilimsel literatürden DOI kaynaklı 100 g bazlı bileşim verisi çıkarmaz, gıda bilimi doğrulama kademesi ve uzman geri bildirimli öğrenme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farklı olarak hem maliyet optimizasyonu hem de çok katmanlı doğrulama sağlar.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Statik eşiklere dayalı kademelerin yerine, proje boyunca doğrulama sonuçlarından öğrenen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500.000'den fazla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8"/>
              </w:rPr>
              <w:t>Birim ekonomisi ve başabaş (gösterge niteliğinde):</w:t>
            </w:r>
            <w:r>
              <w:rPr>
                <w:rFonts w:ascii="Arial" w:hAnsi="Arial" w:eastAsia="Arial"/>
                <w:sz w:val="18"/>
              </w:rPr>
              <w:t xml:space="preserve"> Ticarileşmenin maliyet temeli iki kalemden oluşur: makale başına bir defalık otomatik işleme maliyeti (Hedef 1'de proje sonunda &lt;$0,01 hedeflenir) ve API'yi ayakta tutan tekrarlayan altyapı maliyeti (Bölüm 3.4'te proje sonrası ~12.500 TL/yıl). Bu düşük tutar, proje donanımı edinildikten sonraki değişken işleme/sunum maliyetini ifade eder; personel, satış, destek ve donanım amortismanı ticari fiyatlandırmada ayrıca dikkate alınacaktır. Çıkarım maliyeti bir kayıt için yalnızca bir kez oluşur; üretilen kayıt çok sayıda API çağrısına neredeyse maliyetsiz biçimde yeniden sunulabildiğinden çağrı başına marjinal sunum maliyeti çok düşüktür. Bu yapı kademeli bir gelir modeline olanak tanır: ücretsiz akademik erişim, kullanım hacmine göre fiyatlanan ticari API abonelikleri ve toplu veri/lisans anlaşmaları. Gösterge niteliğindeki bir değerlendirmeyle, yıllık tekrarlayan işletme maliyetinin karşılanması yalnızca birkaç orta ölçekli kurumsal aboneliği gerektirir; bu nedenle başabaş noktasının düşük bir müşteri sayısında ulaşılabilir olduğu öngörülmektedir. Kesin fiyat kademeleri, çağrı başına sunum maliyeti ve ayrıntılı başabaş analizi; pilot sonuçlarına ve değerlendirme dönemindeki güncel model ve altyapı fiyatlarına göre Bölüm 6.3'teki ürünleşme yol haritasında nihaileştirilecektir.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Doğrulamayı yürüten iki gıda mühendisliği bursiyerinin (doğrulama penceresinin önemli bölümünde yüksek lisans düzeyindeki araştırmacılar) her biri günde ortalama 8-12 makale hedeflediğinde, Prof. Dr. Şumnu'nun protokol ve tahkim gözetiminde WP4 doğrulama penceresi boyunca yaklaşık 5.000 uzman doğrulamalı makale ve 25.000 altın standart kayıt üretilebilir. Aktif öğrenme kuyruğu, insan incelemesini en yüksek eğitim değeri taşıyan örneklere yönlendirerek bu kapasitenin verimli kullanılmasını sağlar.</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doğrulama durumu, uzman düzeltmeleri ve sürüm geçmişi.</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 tarama aşaması ağırlıkları açık Gemma ailesi bir modelle yürütülmektedir.</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16 Haziran 2026 itibarıyla 23.561 arama sonucu/hit kaydedilmiş, 4.733 benzersiz makale kaydı sisteme alınmış, 4.999 yapay zekâ çıkarım denemesi üretilmiş ve 339 makale uzman inceleme kuyruğuna yönlendirilmiştir.</w:t>
            </w:r>
          </w:p>
          <w:p>
            <w:pPr>
              <w:spacing w:after="40" w:before="0" w:line="240" w:lineRule="auto"/>
            </w:pPr>
            <w:r>
              <w:rPr>
                <w:rFonts w:ascii="Arial" w:hAnsi="Arial" w:eastAsia="Arial"/>
                <w:sz w:val="18"/>
              </w:rPr>
              <w:t>Bu prototip, projenin en yüksek riskli bileşeni olan çok parçalı sistem entegrasyonunu fiilen çalışır hale getirerek fizibilite riskini düşürmektedir. Proje desteği, prototipin eksik kalan araştırma bileşenlerini tamamlayacaktır: (1) tarama ve çıkarımın hazır/dışarıdan erişilen modellerden, kurum ve TRUBA/proje donanımında çalıştırılacak ince ayarlı ağırlıkları açık modellere taşınması; (2) gıda bilimi doğrulama kural motorunun sistematik olarak geliştirilmesi; (3) statik yönlendirme eşiklerinin yerine Öğrenilmiş Yönlendirici kurulması; (4) uzman düzeltmelerinin alt katmanları sürekli yeniden eğittiği öğrenme döngüsünün kapatılması. Tarama aşamasının halihazırda ağırlıkları açık bir modelle (Gemma ailesi) çalışması, çekirdek çıkarımın kurumun kendi donanımında tümüyle yerinde (self-hosted) çalıştırılmasına geçişi yeni bir yetenek değil düşük riskli bir genişletme hâline getirir; ağırlıkları açık modeller, kapalı ticari API'lerin aksine kurum denetimindeki donanımda barındırılabildiğinden bu yapı Bölüm 6.2'de tanımlanan veri egemenliği kazanımını da doğrudan güçlendirir.</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buraya eklenecek 1-2 somut yetkinlik/başarı son aşamada onaylanacaktır.]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500'den fazla analiz edilmiş gıda için güçlü bir temel sunsa da Türkiye'nin tarımsal ve kültürel gıda çeşitliliği çok daha geniştir. Bilimsel literatürde belgelenen birçok yerel gıda, yöresel ürün ve ürün varyantı uluslararası gıda bileşimi veri altyapılarında yeterince temsil edilmemektedir.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 OpenNutri'nin TürKomp karşısındaki konumu rekabet değil tamamlayıcılıktır: amaç, TürKomp'un yüksek kaliteyle analiz ettiği temel gıdaları yeniden üretmek değil; bu ulusal veriyi uluslararası altyapılarla birlikte çalışabilir kılmak ve TürKomp'un manuel laboratuvar yöntemiyle henüz ulaşamadığı geniş literatür kuyruğunu (yöresel ürünler, ürün varyantları ve hazır yemekler) ölçeklenebilir biçimde kapsamaktır.</w:t>
            </w:r>
          </w:p>
          <w:p>
            <w:pPr>
              <w:spacing w:after="40" w:before="0" w:line="240" w:lineRule="auto"/>
            </w:pPr>
            <w:r>
              <w:rPr>
                <w:rFonts w:ascii="Arial" w:hAnsi="Arial" w:eastAsia="Arial"/>
                <w:b/>
                <w:sz w:val="18"/>
              </w:rPr>
              <w:t>Ön kontrol bulgusu:</w:t>
            </w:r>
            <w:r>
              <w:rPr>
                <w:rFonts w:ascii="Arial" w:hAnsi="Arial" w:eastAsia="Arial"/>
                <w:sz w:val="18"/>
              </w:rPr>
              <w:t xml:space="preserve"> Açığın yönünü göstermek için Türkiye'nin ulusal referans verisi TürKomp ile USDA FoodData Central'ın referans bileşim veri setleri (SR Legacy ve FNDDS) karşılaştırmalı olarak kontrol edilmiştir. Birinci grup somut bir uluslararası temsil açığını doğrulamaktadır: simit (İzmir), tarhana (Uşak), kaşar peyniri, Erzurum sucuğu ve ayran gibi ürünler TürKomp'ta 100 g bazlı bileşim kaydıyla yer aldığı hâlde, USDA'nın bu referans setlerinde — alternatif İngilizce yazımları (örneğin kaşar için "kashkaval/kasseri", sucuk için "sujuk/soudjouk") dâhil — bulunmamaktadır. Başka bir deyişle, ulusal verimizde belgelenmiş Türk gıdaları dahi uluslararası besin veri altyapılarına yansımamaktadır. İkinci grup, TürKomp'un yaklaşık 580 gıdalık kapsamının dışında kalan ve bilimsel literatürde belgelenmesine karşın ön kontrolde ne TürKomp'ta ne de USDA'da karşılığına rastlanan hazır/yöresel yemekleri (örneğin lahmacun, mantı, künefe) içerir; bunlar OpenNutri'nin literatürden özgün biçimde ekleyebileceği aday gıdalardır. Karşıtlık için, bulgur ve Antep fıstığı gibi daha geniş biçimde ihraç edilen ürünlerin her iki altyapıda da temsil edildiği görülmüştür; bu da açığın genel değil ürün düzeyinde seçici olduğunu gösterir. Bu ön kontrol İngilizce/Latin harfli anahtar kelimelere dayanır ve markalı ürün veri setlerini kapsamaz; ikinci gruptaki örnekler kanıtlanmış değil, sistematik indekslemeyle doğrulanacak aday boşluklardır.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dil ve çıkarım katmanına göre tabakalı rastgele örnekleme ile yürütülecektir. &lt;%0,5 hata hedefinin istatistiksel olarak desteklenebilmesi için her denetim döngüsünde bir taban örneklem büyüklüğü uygulanır: binom güven aralığı mantığıyla, sıfır hatalı gözlemde %95 üst güven sınırı yaklaşık 3/n'dir ("üçler kuralı"); dolayısıyla küresel hata oranını %95 güvenle %0,5'in altında tutmak yaklaşık 600 kaydın hatasız denetlenmesini gerektirir; birkaç hatalı gözleme tolerans tanımak için döngü başına taban örneklem ~600-1.000 kayda çıkarılır. Bu taban örneklem küresel orana ilişkindir; tabakalandırma, örneklemi sınıflara dağıtmak ve sınıflar arası farklılıkları saptamak için kullanılır, her tabakaya ayrı bir %0,5 garantisi vermez. Yüksek riskli tabakalarda (karmaşık tablolar, taranmış/OCR gerektiren PDF'ler, Türkçe yayınlar ve yeni model sürümleri gibi) hedefli aşırı örnekleme yapılır. Sayısal yükseltme kuralı: bir tabakanın gözlemlenen hata oranına ait %95 güven aralığının üst sınırı %0,5'i aştığında, o tabaka için otomatik kabul eşiği yükseltilir ve etkilenen kayıtlar L5 uzman doğrulamasına yönlendirilir.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kilitli bir test kümesi üzerinde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Paketlerinin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Kim(ler) Tarafından Gerçekleştirileceği</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 (..-.. Ay)</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Projenin Başarısına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Literatür Tarama ve L2 Sınıflandırma Hattı:</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en az %30 maliyet düşüşü;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≥500.000 gıda-besin kaydı; veri sunum API'si yayında (&lt;200 ms p95 sorgu yanıt süresi, ≥100 istek/saniye); açık veri ve kıyaslama raporu yayımlanır;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En Önemli Riskler</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 Yönetimi (B Planı)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GPU/NAS donanımının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kurum kaynakları ve uygun olduğunda TRUBA üzerinde sürdürülür; satın alma proje başında başlatılır;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Aktif öğrenme kuyruğu en yüksek değerli makaleleri önceliklendirir; yönergeler sadeleştirilir; Prof. Dr. Şumnu gözetiminde eğitim/kalibrasyon artırılır; kalite hedefi korunarak hacim riski erken raporlanır.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hesaplama tahsisi gecikebilir veya beklenenden düşük olabilir.</w:t>
            </w:r>
          </w:p>
        </w:tc>
        <w:tc>
          <w:tcPr>
            <w:tcW w:type="dxa" w:w="4727"/>
            <w:vAlign w:val="top"/>
          </w:tcPr>
          <w:p>
            <w:pPr>
              <w:spacing w:after="40" w:line="240" w:lineRule="auto"/>
            </w:pPr>
          </w:p>
          <w:p>
            <w:pPr>
              <w:spacing w:after="40" w:before="0" w:line="240" w:lineRule="auto"/>
            </w:pPr>
            <w:r>
              <w:rPr>
                <w:rFonts w:ascii="Arial" w:hAnsi="Arial" w:eastAsia="Arial"/>
                <w:sz w:val="18"/>
              </w:rPr>
              <w:t>Ağır ince ayar işleri PEFT (LoRA/QLoRA) ile küçük donanıma sığacak biçimde tasarlanır; proje kapsamındaki GPU iş istasyonu PEFT ölçeğinde yedek hesaplama sağlar; iş yükü gerektiğinde kısa süreli bulut GPU'ya taşınır.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korunur; otomatik onay oranı düşük kalırsa sistem daha fazla kaydı L5'e yönlendirir ve sonuçlar sınırlılık olarak raporlanır.</w:t>
            </w:r>
          </w:p>
        </w:tc>
      </w:tr>
      <w:tr>
        <w:tc>
          <w:tcPr>
            <w:tcW w:type="dxa" w:w="651"/>
            <w:vAlign w:val="top"/>
          </w:tcPr>
          <w:p>
            <w:pPr>
              <w:spacing w:after="40" w:line="240" w:lineRule="auto"/>
            </w:pPr>
          </w:p>
          <w:p>
            <w:pPr>
              <w:spacing w:after="40" w:before="0" w:line="240" w:lineRule="auto"/>
            </w:pPr>
            <w:r>
              <w:rPr>
                <w:rFonts w:ascii="Arial" w:hAnsi="Arial" w:eastAsia="Arial"/>
                <w:sz w:val="18"/>
              </w:rPr>
              <w:t>WP5 / Ticari</w:t>
            </w:r>
          </w:p>
        </w:tc>
        <w:tc>
          <w:tcPr>
            <w:tcW w:type="dxa" w:w="4178"/>
            <w:vAlign w:val="top"/>
          </w:tcPr>
          <w:p>
            <w:pPr>
              <w:spacing w:after="40" w:line="240" w:lineRule="auto"/>
            </w:pPr>
          </w:p>
          <w:p>
            <w:pPr>
              <w:spacing w:after="40" w:before="0" w:line="240" w:lineRule="auto"/>
            </w:pPr>
            <w:r>
              <w:rPr>
                <w:rFonts w:ascii="Arial" w:hAnsi="Arial" w:eastAsia="Arial"/>
                <w:sz w:val="18"/>
              </w:rPr>
              <w:t>Pilot ortaklıkları kurulamaz veya ticari talep beklenenden yavaş gelişir.</w:t>
            </w:r>
          </w:p>
        </w:tc>
        <w:tc>
          <w:tcPr>
            <w:tcW w:type="dxa" w:w="4727"/>
            <w:vAlign w:val="top"/>
          </w:tcPr>
          <w:p>
            <w:pPr>
              <w:spacing w:after="40" w:line="240" w:lineRule="auto"/>
            </w:pPr>
          </w:p>
          <w:p>
            <w:pPr>
              <w:spacing w:after="40" w:before="0" w:line="240" w:lineRule="auto"/>
            </w:pPr>
            <w:r>
              <w:rPr>
                <w:rFonts w:ascii="Arial" w:hAnsi="Arial" w:eastAsia="Arial"/>
                <w:sz w:val="18"/>
              </w:rPr>
              <w:t>Açık akademik veri seti ve yayınlar erken görünürlük ve güven sağlar; gelir tek bir alıcıya bağlanmaz, veri lisansı, API aboneliği ve doğrulama motoru lisansı olarak çeşitlendirilir; ürünleşme riski TÜBİTAK 1512 BiGG ve KOSGEB programlarıyla aşamalı biçimde azaltılır; pilotlar bağlayıcı olmayan niyet mektuplarıyla erken talep sinyali toplar.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Kuruluşta Bulunan Altyapı/Ekipman Türü, Modeli</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ve proje kapsamında alınacak GPU/NAS donanımı</w:t>
            </w:r>
          </w:p>
        </w:tc>
        <w:tc>
          <w:tcPr>
            <w:tcW w:type="dxa" w:w="4641"/>
            <w:vAlign w:val="top"/>
          </w:tcPr>
          <w:p>
            <w:pPr>
              <w:spacing w:after="40" w:line="240" w:lineRule="auto"/>
            </w:pPr>
          </w:p>
          <w:p>
            <w:pPr>
              <w:spacing w:after="40" w:before="0" w:line="240" w:lineRule="auto"/>
            </w:pPr>
            <w:r>
              <w:rPr>
                <w:rFonts w:ascii="Arial" w:hAnsi="Arial" w:eastAsia="Arial"/>
                <w:sz w:val="18"/>
              </w:rPr>
              <w:t>Birincil veri tabanı, çıkarım servisleri, model kontrol noktaları, PDF/tam metin önbelleği ve yedekleme.</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2026; proje kabulü sonrası uygunluk ve kaynak tahsisi başvurusu yapılacak hesaplama kanalı)</w:t>
            </w:r>
          </w:p>
        </w:tc>
        <w:tc>
          <w:tcPr>
            <w:tcW w:type="dxa" w:w="4641"/>
            <w:vAlign w:val="top"/>
          </w:tcPr>
          <w:p>
            <w:pPr>
              <w:spacing w:after="40" w:line="240" w:lineRule="auto"/>
            </w:pPr>
          </w:p>
          <w:p>
            <w:pPr>
              <w:spacing w:after="40" w:before="0" w:line="240" w:lineRule="auto"/>
            </w:pPr>
            <w:r>
              <w:rPr>
                <w:rFonts w:ascii="Arial" w:hAnsi="Arial" w:eastAsia="Arial"/>
                <w:sz w:val="18"/>
              </w:rPr>
              <w:t>Büyük ölçekli LLM ince ayarı, RLHF/tercih temelli eğitim süreçleri ve model kıyaslaması; tahsis gecikirse PEFT ölçeğindeki işler proje GPU'su ve kurum kaynaklarıyla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USDA/EuroFIR/TürKomp karşılaştırması.</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500.000 kaynağı izlenebilir gıda-besin kaydı, en az 5.000 özgün Türk gıda ürünü/varyantı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USDA/EuroFIR/TürKomp çapraz referanslama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önceliklerinden gıda ve tarımın öncelikli gelişme alanı olarak güçlendirilmesi, gıda güvencesi, dijital dönüşüm, yerli ve milli teknoloji geliştirme ve yeşil dönüşüm hedefleriyle doğrudan ilişkilidir.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Etkinin Elde Edilmesi 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Türk yemek kültürüne uyarlanmış kanıta dayalı beslenme rehberliği; yerel gıdalar için daha doğru beslenme takibi ve diyet uygulamaları.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Sürdürülebilirlik</w:t>
            </w:r>
          </w:p>
        </w:tc>
        <w:tc>
          <w:tcPr>
            <w:tcW w:type="dxa" w:w="3544"/>
            <w:vAlign w:val="top"/>
          </w:tcPr>
          <w:p>
            <w:pPr>
              <w:spacing w:after="40" w:line="240" w:lineRule="auto"/>
            </w:pPr>
          </w:p>
          <w:p>
            <w:pPr>
              <w:spacing w:after="40" w:before="0" w:line="240" w:lineRule="auto"/>
            </w:pPr>
            <w:r>
              <w:rPr>
                <w:rFonts w:ascii="Arial" w:hAnsi="Arial" w:eastAsia="Arial"/>
                <w:sz w:val="18"/>
              </w:rPr>
              <w:t>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destekli gıda bileşimi çıkarımı için açık kıyaslama ve metodoloji; farmakoloji, çevre bilimi ve malzeme bilimi gibi alanlara aktarılabilir mimari.</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USDA FoodData Central, EFSA ve FAO/INFOODS gibi veri ekosistemleriyle uyumlu format sayesinde ulusal/uluslararası iş birliği zemini.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Veri lisanslama, API aboneliği ve doğrulama motoru uyarlamasıyla çeşitlendirilmiş gelir kanalları.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İstihdam</w:t>
            </w:r>
          </w:p>
        </w:tc>
        <w:tc>
          <w:tcPr>
            <w:tcW w:type="dxa" w:w="3544"/>
            <w:vAlign w:val="top"/>
          </w:tcPr>
          <w:p>
            <w:pPr>
              <w:spacing w:after="40" w:line="240" w:lineRule="auto"/>
            </w:pPr>
          </w:p>
          <w:p>
            <w:pPr>
              <w:spacing w:after="40" w:before="0" w:line="240" w:lineRule="auto"/>
            </w:pPr>
            <w:r>
              <w:rPr>
                <w:rFonts w:ascii="Arial" w:hAnsi="Arial" w:eastAsia="Arial"/>
                <w:sz w:val="18"/>
              </w:rPr>
              <w:t>Proje sonrası 2 yıl içinde veri operasyonları, API mühendisliği ve iş geliştirme rollerini kapsayan 5-10 kişilik spin-off hedefi;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Rekabetçilik</w:t>
            </w:r>
          </w:p>
        </w:tc>
        <w:tc>
          <w:tcPr>
            <w:tcW w:type="dxa" w:w="3544"/>
            <w:vAlign w:val="top"/>
          </w:tcPr>
          <w:p>
            <w:pPr>
              <w:spacing w:after="40" w:line="240" w:lineRule="auto"/>
            </w:pPr>
          </w:p>
          <w:p>
            <w:pPr>
              <w:spacing w:after="40" w:before="0" w:line="240" w:lineRule="auto"/>
            </w:pPr>
            <w:r>
              <w:rPr>
                <w:rFonts w:ascii="Arial" w:hAnsi="Arial" w:eastAsia="Arial"/>
                <w:sz w:val="18"/>
              </w:rPr>
              <w:t>Yabancı besin veri tabanlarına bağımlılığı azaltan, Türk gıdalarını kapsayan ulusal alternatif; ihracat ve yerli sağlık teknolojileri için doğruluk avantajı.</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sz w:val="18"/>
              </w:rPr>
              <w:t>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Veri Egemenliği / Siber Dayanıklılık</w:t>
            </w:r>
          </w:p>
        </w:tc>
        <w:tc>
          <w:tcPr>
            <w:tcW w:type="dxa" w:w="3544"/>
            <w:vAlign w:val="top"/>
          </w:tcPr>
          <w:p>
            <w:pPr>
              <w:spacing w:after="40" w:line="240" w:lineRule="auto"/>
            </w:pPr>
          </w:p>
          <w:p>
            <w:pPr>
              <w:spacing w:after="40" w:before="0" w:line="240" w:lineRule="auto"/>
            </w:pPr>
            <w:r>
              <w:rPr>
                <w:rFonts w:ascii="Arial" w:hAnsi="Arial" w:eastAsia="Arial"/>
                <w:sz w:val="18"/>
              </w:rPr>
              <w:t>Çekirdek veri ve model altyapısının kurum/proje donanımı ve tahsis alınan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 üç hedef sektörü temsil eden 2-3 kuruluşa ücretsiz pilot olarak sunulacaktır: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Pilot başarı ölçütleri:</w:t>
            </w:r>
            <w:r>
              <w:rPr>
                <w:rFonts w:ascii="Arial" w:hAnsi="Arial" w:eastAsia="Arial"/>
                <w:sz w:val="18"/>
              </w:rPr>
              <w:t xml:space="preserve"> Pilotlar, partner taahhüdü gerektirmeyen ve sistemin halihazırda izlediği göstergelere dayanan ölçütlerle değerlendirilecektir: partnerin kendi kullanım senaryosunda doğruladığı kaynaklı kayıt sayısı; bu kayıtlarda partnerin yaptığı düzeltme oranı (düşük düzeltme oranı, otomatik onay kalitesinin göstergesidir); manuel veri arama veya laboratuvar ön elemesinde sağlanan zaman ve iş gücü tasarrufu; ve pilot sonunda alınan bağlayıcı olmayan niyet/geri bildirim mektubu. Bu ölçütler, ürünleşme kararı ve fiyatlandırma için somut bir kanıt tabanı oluşturur.</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düzenli API/veri lisansı geliri ve en az bir uluslararası doğrulama motoru uyarlama veya 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Etkinliğin Zamanı ve Süresi</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yayını (Zenodo / HuggingFace)</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USDA/EFSA ekosistemi, sağlık teknolojisi geliştiricileri</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Yazılım geliştiriciler, sağlık teknolojisi şirketleri,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sağlık teknolojisi girişimleri, diyetisyenler, kamu paydaşları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16.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TİM ve ilgili ihracatçı birlikleri, gıda ihracat şirketleri</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