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ve otomatik onay oranının artmasıyla, ek olarak Bölüm 4.7.3'teki öğrenme eğrileri ve yönlendirici pişmanlık analizleriyle izlenecektir.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kurum ve TRUBA/proje donanımında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aşamasının halihazırda ağırlıkları açık bir modelle (Gemma ailesi) çalışması, çekirdek çıkarımın kurumun kendi donanımında tümüyle yerinde (self-hosted) çalıştırılmasına geçişi yeni bir yetenek değil düşük riskli bir genişletme hâline getirir; ağırlıkları açık modeller, kapalı ticari API'lerin aksine kurum denetimindeki donanımda barındırılabildiğinden bu yapı Bölüm 6.2'de tanımlanan veri egemenliği kazanımını da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EuroFIR ile markalı ürün veri setleriyle henüz tamamlanmamıştır;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%95 üst güven sınırı yaklaşık 3/n'dir ("üçler kuralı"); dolayısıyla küresel hata oranını %95 güvenle %0,5'in altında tutmak yaklaşık 600 kaydın hatasız denetlenmesini gerektirir; birkaç hatalı gözleme tolerans tanımak için döngü başına taban örneklem ~600-1.000 kayda çıkarılır. Bu taban örneklem küresel orana ilişkindir; tabakalandırma, örneklemi sınıflara dağıtmak ve sınıflar arası farklılıkları saptamak için kullanılır, her tabakaya ayrı bir %0,5 garantisi vermez. Yüksek riskli tabakalarda (karmaşık tablolar, taranmış PDF'ler, düşük kaynaklı diller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