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Hedeflenen &lt;$0,01 maliyet, bir makaleyi tek başına güçlü bir ticari modelle işlemeye kıyasla bir büyüklük mertebesi (≈10 kat veya daha fazla) daha düşüktür; sürekli güncellenen ulusal ölçekli bir veri tabanını ekonomik olarak sürdürülebilir kılan da bu düşüştür.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ticari API aboneliği, toplu veri/lisans) ve yıllık tekrarlayan işletme maliyetini karşılamak yalnızca birkaç orta ölçekli kurumsal abonelik gerektirdiğinden başabaş düşük bir müşteri sayısında ulaşılır. Personel, satış, destek ve donanım amortismanını içeren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≥%50 maliyet düşüşü hedefi;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en az 2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