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Dr. Öğr. Üyesi Engin Eşme</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Konya Teknik Üniversitesi</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ağırlıkları açık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Hedeflenen &lt;$0,01 maliyet, bir makaleyi tek başına güçlü bir ticari modelle işlemeye kıyasla bir büyüklük mertebesi (≈10 kat veya daha fazla) daha düşüktür; sürekli güncellenen ulusal ölçekli bir veri tabanını ekonomik olarak sürdürülebilir kılan da bu düşüştür.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aday/çıkarım havuzuna alınacak; ≥250.000 kayıt faydalı alt kümeden otomatik üretilecek; ≥5.000 makale ve ≥25.000 kayıt ise uzman doğrulamalı altın standart bölümünü oluşturacaktır. İnceleme kuyruğu L2/L3'ün veri içerdiğini belirlediği makalelerle beslendiğinden, ~6,8 kayıt/makale yoğunluğunda 5.000 makale ≥25.000 kaydı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ticari API aboneliği, toplu veri/lisans) ve yıllık tekrarlayan işletme maliyetini karşılamak yalnızca birkaç orta ölçekli kurumsal abonelik gerektirdiğinden başabaş düşük bir müşteri sayısında ulaşılır. Personel, satış, destek ve donanım amortismanını içeren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 Bu nedenle makale başına ortalama maliyet sabit değildir; başlangıçta pahalı L4 katmanına uğrayan makalelerin giderek artan bir bölümü, alt katmanlar yeniden eğitildikçe ucuz L1-L3 katmanlarında çözülür ve ortalama maliyet, otomatik onay oranı yükseldikçe proje sonu hedefi &lt;$0,01'e doğru iner (iniş, ölçülmüş ara değerlerle değil bu oranla izlenir).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(Yürütücü Dr. Öğr. Üyesi Engin Eşme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uzman doğrulamalı altın standarttan ayrılan kilitli bir test kümesi üzerinde, değerlendirme tarihinde erişilebilen en güçlü ticari ve ağırlıkları açık modellerle karşılaştırmalı olarak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Tarama Motoru ve Sınıflandırma Hattı (L1-L2):</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≥%50 maliyet düşüşü hedefi;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Dr. Öğr. Üyesi Engin Eşme (Yürütücü) | Bilimsel/teknik koordinasyon; ML/sistem mimarisi, yönlendirici ve RLHF liderliği | ✓ | ✓ | ✓ | ✓ | ✓ | ~%30 | | Prof. Dr. S. G. Şumnu (Araştırmacı) | Gıda bilimi doğrulama protokolü ve tahkim | ✓ | ✓ |  | ✓ | ✓ | ~%15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hedef ve politikalarıyla doğrudan ilişkilidir (ilgili Plan paragraf numaraları parantez içinde verilmiştir): teknolojiyle güçlendirilmiş, gıda arz güvenliğini sağlayan ve risklere dayanıklı tarımsal üretim (299, 321, 489); dijitalleşme, yapay zekâ ve kritik teknolojilerde yerli ve milli yetkinlik (452, 557, 574); ulusal veri yönetişimi ve veri egemenliği (127, 584, 585); toplumun yeterli ve dengeli beslenmesinin desteklenmesi (487, 706, 739); üniversite-sanayi etkileşimi ve araştırma altyapılarının güçlendirilmesi (551, 689).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Yaşam kalitesi:</w:t>
            </w:r>
            <w:r>
              <w:rPr>
                <w:rFonts w:ascii="Arial" w:hAnsi="Arial" w:eastAsia="Arial"/>
                <w:sz w:val="18"/>
              </w:rPr>
              <w:t xml:space="preserve"> Türk yemek kültürüne uyarlanmış kanıta dayalı beslenme rehberliği; yerel gıdalar için daha doğru beslenme takibi ve diyet uygulamaları (öngörü: proje sonrası 2 yıl içinde en az 2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Refah/eğitim:</w:t>
            </w:r>
            <w:r>
              <w:rPr>
                <w:rFonts w:ascii="Arial" w:hAnsi="Arial" w:eastAsia="Arial"/>
                <w:sz w:val="18"/>
              </w:rPr>
              <w:t xml:space="preserve"> 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Sürdürülebilir çevre:</w:t>
            </w:r>
            <w:r>
              <w:rPr>
                <w:rFonts w:ascii="Arial" w:hAnsi="Arial" w:eastAsia="Arial"/>
                <w:sz w:val="18"/>
              </w:rPr>
              <w:t xml:space="preserve"> 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Yeni Ar-Ge kararları:</w:t>
            </w:r>
            <w:r>
              <w:rPr>
                <w:rFonts w:ascii="Arial" w:hAnsi="Arial" w:eastAsia="Arial"/>
                <w:sz w:val="18"/>
              </w:rPr>
              <w:t xml:space="preserve"> 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Ulusal/uluslararası işbirlikleri:</w:t>
            </w:r>
            <w:r>
              <w:rPr>
                <w:rFonts w:ascii="Arial" w:hAnsi="Arial" w:eastAsia="Arial"/>
                <w:sz w:val="18"/>
              </w:rPr>
              <w:t xml:space="preserve"> USDA FoodData Central, EFSA ve FAO/INFOODS gibi veri ekosistemleriyle uyumlu format sayesinde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Üniversite-sanayi işbirliği:</w:t>
            </w:r>
            <w:r>
              <w:rPr>
                <w:rFonts w:ascii="Arial" w:hAnsi="Arial" w:eastAsia="Arial"/>
                <w:sz w:val="18"/>
              </w:rPr>
              <w:t xml:space="preserve"> 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Araştırmacı niteliği:</w:t>
            </w:r>
            <w:r>
              <w:rPr>
                <w:rFonts w:ascii="Arial" w:hAnsi="Arial" w:eastAsia="Arial"/>
                <w:sz w:val="18"/>
              </w:rPr>
              <w:t xml:space="preserve"> 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Sektörel uygulama alanları:</w:t>
            </w:r>
            <w:r>
              <w:rPr>
                <w:rFonts w:ascii="Arial" w:hAnsi="Arial" w:eastAsia="Arial"/>
                <w:sz w:val="18"/>
              </w:rPr>
              <w:t xml:space="preserve"> 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Küresel pazar:</w:t>
            </w:r>
            <w:r>
              <w:rPr>
                <w:rFonts w:ascii="Arial" w:hAnsi="Arial" w:eastAsia="Arial"/>
                <w:sz w:val="18"/>
              </w:rPr>
              <w:t xml:space="preserve"> 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İstihdam:</w:t>
            </w:r>
            <w:r>
              <w:rPr>
                <w:rFonts w:ascii="Arial" w:hAnsi="Arial" w:eastAsia="Arial"/>
                <w:sz w:val="18"/>
              </w:rPr>
              <w:t xml:space="preserve"> Proje sonrası 2 yıl içinde veri operasyonları, API mühendisliği ve iş geliştirme rollerini kapsayan 5-10 kişilik spin-off hedefi (gelir ve finansman kilometre taşlarına bağlı; muhafazakâr senaryoda daha düşük tutulur).</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Rekabetçilik:</w:t>
            </w:r>
            <w:r>
              <w:rPr>
                <w:rFonts w:ascii="Arial" w:hAnsi="Arial" w:eastAsia="Arial"/>
                <w:sz w:val="18"/>
              </w:rPr>
              <w:t xml:space="preserve"> 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Ekonomik güvenlik:</w:t>
            </w:r>
            <w:r>
              <w:rPr>
                <w:rFonts w:ascii="Arial" w:hAnsi="Arial" w:eastAsia="Arial"/>
                <w:sz w:val="18"/>
              </w:rPr>
              <w:t xml:space="preserve"> 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Siber güvenlik / veri egemenliği:</w:t>
            </w:r>
            <w:r>
              <w:rPr>
                <w:rFonts w:ascii="Arial" w:hAnsi="Arial" w:eastAsia="Arial"/>
                <w:sz w:val="18"/>
              </w:rPr>
              <w:t xml:space="preserve"> 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