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Küresel besin veri altyapısı bugün emek yoğun ve büyük ölçüde manuel bir darboğaza sıkışmıştır: güvenilir besin veri tabanları (USDA FoodData Central, EuroFIR) verilerini uzman kürasyonuyla ve çoğunlukla elle derler (Schakel ve diğerleri, 1988; EuroFIR AISBL, 2024); bu yöntem, bilimsel literatürdeki veri hızla artarken ölçeğe yetişememektedir. Güncel ve güvenilir veriler içeren bir besin veri tabanı, diyet alımlarının doğru hesaplanması için kritik önem taşır; ancak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sağlar. Amaç, zorunlu laboratuvar analizinin yerini almak değil; analiz ve teknik dosya hazırlama ihtiyacını azaltmak ve belgelendirme kalitesini yükseltmektir.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ve uygulamalar (ör. lisanslı veri tabanları NCCDB ve Nutritionix; yaygın kullanılan yabancı uygulamalar MyFitnessPal ve Yazio) kapsam, lisans maliyeti veya yerel gıda çeşitliliği açısından yeterli değildir; simit, lahmacun, yöresel yemekler, yerel bakliyat ve tahıl çeşitleri gibi ürünler çoğu zaman ya eksiktir ya da yabancı muadillerle temsil edilir. Yerel gıdalardaki bu doğruluk farkı, yabancı sistemlerin kapatamadığı bir ayrışma noktasıdır.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gelir iki ayrı varlıktan doğar: (1) doğrulanmış gıda bileşimi veri tabanının sağlık teknolojisi, gıda sanayisi ve araştırma kuruluşlarına sunulması; (2) kademeli doğrulama motorunun, kendi gıda veri altyapısını dijitalleştirmek isteyen ülke veya kurumlara uyarlanabilir bir teknoloji olarak lisanslanması.</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ağırlıkları açık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işlenerek aday/çıkarım havuzuna alınacak; ≥250.000 kayıt, faydalı bileşim verisi içeren alt kümeden otomatik üretilecek; ≥5.000 makale ve ≥25.000 kayıt ise uzman doğrulamalı altın standart bölümünü oluşturacaktır. Veri içeren makale başına ~6,8 kayıt yoğunluğunda, 5.000 makalelik uzman doğrulamalı bölüm rahatlıkla ≥25.000 kayıt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ve yalnızca maliyet düşüren statik kademelerden (ör. FrugalGPT) farklı olarak kademe, hem maliyet optimizasyonu hem de çok katmanlı doğrulama işlevini birlikte üstlenir; bu çift işlevin bilinen bir örneği yoktur.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Sabit güven eşiğine dayalı statik kademelerin (ör. FrugalGPT) yerine, proje boyunca doğrulama sonuçlarından öğrenen ve zamanla ucuzlayan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RLHF yaygın olarak sohbet modeli hizalamasında kullanılır; burada uzman düzeltmelerinin doğrudan çıkarım modellerini yeniden eğittiği yapılandırılmış veri çıkarımına uygulanması yenidir. Bu yaklaşım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 Çıkarım güven puanından bağımsız çalışan, alana özgü bu doğrulama katmanının bilimsel veri çıkarımı literatüründe bildiğimiz kadarıyla bir örneği bulunmamaktadır.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kalemdir: makale başına bir defalık otomatik işleme maliyeti (Hedef 1'de proje sonunda &lt;$0,01) ve API'yi ayakta tutan tekrarlayan altyapı maliyeti (Bölüm 3.4'te ~12.500 TL/yıl). Çıkarım maliyeti her kayıt için yalnızca bir kez oluşur; üretilen kayıt çok sayıda API çağrısına neredeyse maliyetsiz biçimde yeniden sunulduğundan çağrı başına marjinal maliyet çok düşüktür. Bu yapı kademeli bir gelir modeline olanak tanır: ücretsiz akademik erişim, hacme göre fiyatlanan ticari API abonelikleri ve toplu veri/lisans anlaşmaları. Gösterge niteliğinde, yıllık tekrarlayan işletme maliyetinin karşılanması yalnızca birkaç orta ölçekli kurumsal abonelik gerektirir; bu nedenle başabaş düşük bir müşteri sayısında ulaşılabilir görünmektedir. Personel, satış, destek ve donanım amortismanı ticari fiyatlandırmada ayrıca dikkate alınacak; kesin fiyat kademeleri ve ayrıntılı başabaş analizi pilot sonuçlarına ve güncel fiyatlara göre Bölüm 6.3'te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etkin kalan ~12 ayında yaklaşık 2 × 10 × 21 × 12 ≈ 5.000 tekil inceleme tamamlanır. Veri içeren makale başına ~6,8 kayıt yoğunluğunda bu, ≥25.000 altın standart kayda karşılık gelir. Bağlayıcı olan en pahalı kaynak uzman doğrulaması olduğundan kapasite inceleme-dakikası üzerinden bütçelenir; aktif öğrenme kuyruğu insan incelemesini en yüksek eğitim değerli örneklere yönlendirir ve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 Bu etkinin ölçeği bütçe açısından belirleyicidir: hedef hacimde otomatik onay oranındaki görece küçük bir artış bile (ör. ~%60'tan ~%90'a) on binlerce L4/L5 çağrısını ortadan kaldırır; eğitim bir defalık maliyet olduğundan bu birikimli tasarruf, eğitim için harcanan hesaplama bütçesini belirgin biçimde aşar. Bu nedenle makale başına ortalama maliyet sabit değildir; başlangıçta pahalı L4 katmanına uğrayan makalelerin giderek artan bir bölümü, alt katmanlar yeniden eğitildikçe ucuz L1-L3 katmanlarında çözülür ve ortalama maliyet, otomatik onay oranı yükseldikçe proje sonu hedefi &lt;$0,01'e doğru iner (iniş, ölçülmüş ara değerlerle değil bu oranla izlenir).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hâle getirerek fizibilite riskini düşürür. Proje desteği, eksik kalan araştırma bileşenlerini tamamlar: (1) tarama ve çıkarımın hazır/dışarıdan erişilen modellerden ince ayarlı ağırlıkları açık modellere taşınması; (2) gıda bilimi doğrulama kural motorunun sistematik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çalışır; mevcut prototipte bu modele bir sağlayıcının API'si üzerinden erişilmekte olup proje kapsamındaki adım, çekirdek çıkarımın kapalı ticari API yerine ağırlıkları açık modellerle yürütülmesidir. Yazılım geliştirme ve hata ayıklama yerel GPU iş istasyonunda yapılır; ağır toplu çıkarım ile model eğitimi/ince ayarı (30-70B tam ince ayar dâhil) sözleşmeyle tahsis edilen TRUBA H100/H200 kaynaklarına toplu iş olarak gönderilir. TRUBA, proje kabulünde imzalanan sözleşmeyle güvenceye alınan ve ticari buluta göre kat kat ucuz olan birincil ağır-hesaplama kaynağıdır (tarife ve tutar için bkz. Bölüm 5.3, EK-2). Bu geçiş yeni bir yetenek değil düşük riskli bir genişletmedir; çünkü ağırlıkları açık modeller kapalı ticari API'lerin aksine indirilip kurum denetimindeki donanımda barındırılabilir ve bu yerinde dağıtım, Bölüm 6.2'deki veri egemenliği kazanımını doğrudan güçlendirir.</w:t>
            </w:r>
          </w:p>
          <w:p>
            <w:pPr>
              <w:spacing w:after="40" w:before="0" w:line="240" w:lineRule="auto"/>
            </w:pPr>
            <w:r>
              <w:rPr>
                <w:rFonts w:ascii="Arial" w:hAnsi="Arial" w:eastAsia="Arial"/>
                <w:b/>
                <w:sz w:val="18"/>
              </w:rPr>
              <w:t>Yöntem düzeyinde fizibilite:</w:t>
            </w:r>
            <w:r>
              <w:rPr>
                <w:rFonts w:ascii="Arial" w:hAnsi="Arial" w:eastAsia="Arial"/>
                <w:sz w:val="18"/>
              </w:rPr>
              <w:t xml:space="preserve"> Fizibilite yöntem düzeyinde de desteklenir: genel amaçlı büyük dil modelleri ince ayar yapılmadan dahi tablo ve metinden yapılandırılmış veriyi kullanılabilir doğrulukta çıkarabilmekte (Cenikj vd., 2023; Dagdelen vd., 2024); PEFT yöntemleri (LoRA/QLoRA) çok sayıda uzman modelin akademik ölçekli bütçeyle eğitilmesini olanaklı kılmakta; modüler mimari ise tek bir bileşendeki hatanın tüm sistemi etkilemesini sınırlamaktadır; bu nedenle fizibilite yüksek değerlendirilir.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sözleşmeyle tahsis edilen TRUBA H100/H200 hesaplaması üzerinde haftalık toplu işlerle yürütülür; düşük gecikme gerekmediğinden bu toplu erişim modeli yeterlidir.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örneklemeyle yürütülecektir. &lt;%0,5 hata hedefinin desteklenmesi için her döngüde bir taban örneklem uygulanır: binom güven aralığı mantığıyla sıfır hatalı gözlemde tek taraflı %95 üst sınır ~3/n'dir ("üçler kuralı") ve n≈600'de ~%0,5'e denk gelir. Aynı makaleden gelen kayıtlar kümelenmiş (bağımlı) olduğundan örneklem makale (küme) düzeyinde çekilir; tasarım etkisi ve tolere edilen hata sayısı dikkate alınarak döngü başına taban örneklem ~1.000-1.500 kayda çıkarılır ve güven aralıkları küme-bootstrap ile, önceden tanımlı sabit bir denetim sıklığıyla raporlanır. Bu taban örneklem küresel orana ilişkindir; tabakalandırma sınıflar arası farkları saptamak içindir, her tabakaya ayrı %0,5 garantisi vermez. Yüksek riskli tabakalarda (karmaşık tablolar, taranmış/OCR PDF'ler, Türkçe yayınlar, yeni model sürümleri) hedefli aşırı örnekleme yapılır. Yükseltme kuralı: bir tabakanın hata oranına ait %95 güven aralığının üst sınırı %0,5'i aştığında, o tabakanın otomatik kabul eşiği yükseltilir ve etkilenen kayıtlar L5'e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Ağır toplu çıkarım ve model eğitimi/ince ayarı, EK-2'de bütçelenen ve proje kabulünde sözleşmeyle tahsis edilen TRUBA H100/H200 hesaplaması üzerinde yürütülür; bu sayede 30-70B parametre sınıfı modellerin tam ince ayarı dâhil ağır deneyler (H1/H4) güvenceye alınmış kaynaklarla yapılabilir. Yerel GPU iş istasyonu (16 GB VRAM sınıfı), geliştirme, hata ayıklama, çıkarım servisi ve PEFT (LoRA/QLoRA) denemeleri için kullanılır. Teslim hedefleri, TRUBA erişiminin gecikmesi durumunda dahi yerel iş istasyonu + ticari API ile karşılanabilecek biçimde tasarlanmıştır; TRUBA bu hedeflerin hesaplama maliyetini düşürür ve büyük-model araştırma sorularını mümkün kılar.</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uzman doğrulamalı altın standarttan ayrılan kilitli bir test kümesi üzerinde, değerlendirme tarihinde erişilebilen en güçlü ticari ve ağırlıkları açık modellerle karşılaştırmalı olarak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sistem doğruluğu kilitli test kümesinde bootstrap güven aralığıyla ölçülüp raporlanır; veri tabanı hata oranı L5 doğrulama ve rastgele denetimle &lt;%0,5 düzeyinde tutulur;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Prof. Dr. Murat Ceylan (Yürütücü) | Bilimsel/teknik koordinasyon, ileri bileşen liderliği | ✓ | ✓ | ✓ | ✓ | ✓ | ~%20 | | Prof. Dr. S. G. Şumnu (Araştırmacı) | Gıda bilimi doğrulama protokolü ve tahkim | ✓ | ✓ |  | ✓ | ✓ | ~%15 | | Dr. Engin Esme (Araştırmacı) | ML/sistem mimarisi; yönlendirici ve RLHF teknik liderliği |  | ✓ | ✓ | ✓ | ✓ | ~%20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Dr. Engin Esme ve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 iş istasyonunun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ve kurum kaynaklarıyla sürdürülür; satın alma proje başında başlatılır. Ağır hesaplama zaten TRUBA'da yürütüldüğünden yerel iş istasyonunun gecikmesi düşük etkilidir;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hizmet alımı erişimi/kuyruğu gecikebilir.</w:t>
            </w:r>
          </w:p>
        </w:tc>
        <w:tc>
          <w:tcPr>
            <w:tcW w:type="dxa" w:w="4727"/>
            <w:vAlign w:val="top"/>
          </w:tcPr>
          <w:p>
            <w:pPr>
              <w:spacing w:after="40" w:line="240" w:lineRule="auto"/>
            </w:pPr>
          </w:p>
          <w:p>
            <w:pPr>
              <w:spacing w:after="40" w:before="0" w:line="240" w:lineRule="auto"/>
            </w:pPr>
            <w:r>
              <w:rPr>
                <w:rFonts w:ascii="Arial" w:hAnsi="Arial" w:eastAsia="Arial"/>
                <w:sz w:val="18"/>
              </w:rPr>
              <w:t>TRUBA hizmet alımı, proje kabulünde ULAKBİM ile imzalanan sözleşmeyle güvenceye alınır (EK-2). Erişim gecikirse teslim hedefleri yerel iş istasyonu (PEFT/LoRA-QLoRA ölçeği) + sınırlı ticari API ile sürdürülür; toplu eğitim işleri TRUBA erişilebilir olduğunda gönderilir, gerekirse kısa süreli bulut GPU köprü olarak kullanılır. Büyük-model (30-70B tam ince ayar) deneyleri bu güvenceye alınmış TRUBA kaynağıyla yürütülür.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ağ ve mevcut depolama altyapısı</w:t>
            </w:r>
          </w:p>
        </w:tc>
        <w:tc>
          <w:tcPr>
            <w:tcW w:type="dxa" w:w="4641"/>
            <w:vAlign w:val="top"/>
          </w:tcPr>
          <w:p>
            <w:pPr>
              <w:spacing w:after="40" w:line="240" w:lineRule="auto"/>
            </w:pPr>
          </w:p>
          <w:p>
            <w:pPr>
              <w:spacing w:after="40" w:before="0" w:line="240" w:lineRule="auto"/>
            </w:pPr>
            <w:r>
              <w:rPr>
                <w:rFonts w:ascii="Arial" w:hAnsi="Arial" w:eastAsia="Arial"/>
                <w:sz w:val="18"/>
              </w:rPr>
              <w:t>Geliştirme ve servis için temel sunucu/ağ ortamı (kurum ağı kullanılır; ayrı ağ donanımı talep edilmez). Proje kapsamında talep edilen GPU geliştirme/servis iş istasyonu EK-2 bütçesindedir; üretim veri barındırma ve yedekleme bulut hizmetiyle sağlanır.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ARDEB projeleri için hizmet bedeli karşılığı, proje kabulünde imzalanan sözleşmeyle tahsis edilen H100/H200 hesaplaması — EK-2'de bütçelenmiştir)</w:t>
            </w:r>
          </w:p>
        </w:tc>
        <w:tc>
          <w:tcPr>
            <w:tcW w:type="dxa" w:w="4641"/>
            <w:vAlign w:val="top"/>
          </w:tcPr>
          <w:p>
            <w:pPr>
              <w:spacing w:after="40" w:line="240" w:lineRule="auto"/>
            </w:pPr>
          </w:p>
          <w:p>
            <w:pPr>
              <w:spacing w:after="40" w:before="0" w:line="240" w:lineRule="auto"/>
            </w:pPr>
            <w:r>
              <w:rPr>
                <w:rFonts w:ascii="Arial" w:hAnsi="Arial" w:eastAsia="Arial"/>
                <w:sz w:val="18"/>
              </w:rPr>
              <w:t>Toplu model çıkarımı ile model eğitimi/ince ayarı (30-70B tam ince ayar dâhil) için birincil ağır-hesaplama kaynağı; haftalık toplu işlerle kullanılır. TRUBA yazılım geliştirme amacıyla kullanılamadığından geliştirme, hata ayıklama ve çıkarım servisi yerel GPU iş istasyonunda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 (hedef: NeurIPS Datasets &amp; Benchmarks / ACL).</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 (hedef: Expert Systems with Applications / Computers and Electronics in Agriculture).</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 (hedef: JFCA, Food Chemistry / Nature Scientific Data).</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hedef ve politikalarıyla doğrudan ilişkilidir (ilgili Plan paragraf numaraları parantez içinde verilmiştir): teknolojiyle güçlendirilmiş, gıda arz güvenliğini sağlayan ve risklere dayanıklı tarımsal üretim (299, 321, 489); dijitalleşme, yapay zekâ ve kritik teknolojilerde yerli ve milli yetkinlik (452, 557, 574); ulusal veri yönetişimi ve veri egemenliği (127, 584, 585); toplumun yeterli ve dengeli beslenmesinin desteklenmesi (487, 706, 739); üniversite-sanayi etkileşimi ve araştırma altyapılarının güçlendirilmesi (551, 689).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Yaşam kalitesi:</w:t>
            </w:r>
            <w:r>
              <w:rPr>
                <w:rFonts w:ascii="Arial" w:hAnsi="Arial" w:eastAsia="Arial"/>
                <w:sz w:val="18"/>
              </w:rPr>
              <w:t xml:space="preserve"> Türk yemek kültürüne uyarlanmış kanıta dayalı beslenme rehberliği; yerel gıdalar için daha doğru beslenme takibi ve diyet uygulamaları (öngörü: proje sonrası 2 yıl içinde birden çok yerli beslenme/diyet uygulamasının OpenNutri verisini kullanması).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Refah/eğitim:</w:t>
            </w:r>
            <w:r>
              <w:rPr>
                <w:rFonts w:ascii="Arial" w:hAnsi="Arial" w:eastAsia="Arial"/>
                <w:sz w:val="18"/>
              </w:rPr>
              <w:t xml:space="preserve"> 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Sürdürülebilir çevre:</w:t>
            </w:r>
            <w:r>
              <w:rPr>
                <w:rFonts w:ascii="Arial" w:hAnsi="Arial" w:eastAsia="Arial"/>
                <w:sz w:val="18"/>
              </w:rPr>
              <w:t xml:space="preserve"> 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Yeni Ar-Ge kararları:</w:t>
            </w:r>
            <w:r>
              <w:rPr>
                <w:rFonts w:ascii="Arial" w:hAnsi="Arial" w:eastAsia="Arial"/>
                <w:sz w:val="18"/>
              </w:rPr>
              <w:t xml:space="preserve"> 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Ulusal/uluslararası işbirlikleri:</w:t>
            </w:r>
            <w:r>
              <w:rPr>
                <w:rFonts w:ascii="Arial" w:hAnsi="Arial" w:eastAsia="Arial"/>
                <w:sz w:val="18"/>
              </w:rPr>
              <w:t xml:space="preserve"> USDA FoodData Central, EFSA ve FAO/INFOODS gibi veri ekosistemleriyle uyumlu format sayesinde iş birliği zemini (öngörü: 2 yıl içinde en az 1 resmi ulusal/uluslararası Ar-Ge iş birliği).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Üniversite-sanayi işbirliği:</w:t>
            </w:r>
            <w:r>
              <w:rPr>
                <w:rFonts w:ascii="Arial" w:hAnsi="Arial" w:eastAsia="Arial"/>
                <w:sz w:val="18"/>
              </w:rPr>
              <w:t xml:space="preserve"> Üretim API'si ve doğrulanmış veri tabanı, üniversite-sanayi iş birliği için somut ürün ve altyapı sağlar; gıda ihracatçıları ve sağlık teknolojisi firmaları akademik çıktıların doğrudan paydaşı hâline gelir.</w:t>
            </w:r>
          </w:p>
        </w:tc>
        <w:tc>
          <w:tcPr>
            <w:tcW w:type="dxa" w:w="2551"/>
            <w:vAlign w:val="top"/>
          </w:tcPr>
          <w:p>
            <w:pPr>
              <w:spacing w:after="40" w:line="240" w:lineRule="auto"/>
            </w:pPr>
          </w:p>
          <w:p>
            <w:pPr>
              <w:spacing w:after="40" w:before="0" w:line="240" w:lineRule="auto"/>
            </w:pPr>
            <w:r>
              <w:rPr>
                <w:rFonts w:ascii="Arial" w:hAnsi="Arial" w:eastAsia="Arial"/>
                <w:sz w:val="18"/>
              </w:rPr>
              <w:t>12-36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Araştırmacı niteliği:</w:t>
            </w:r>
            <w:r>
              <w:rPr>
                <w:rFonts w:ascii="Arial" w:hAnsi="Arial" w:eastAsia="Arial"/>
                <w:sz w:val="18"/>
              </w:rPr>
              <w:t xml:space="preserve"> 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Sektörel uygulama alanları:</w:t>
            </w:r>
            <w:r>
              <w:rPr>
                <w:rFonts w:ascii="Arial" w:hAnsi="Arial" w:eastAsia="Arial"/>
                <w:sz w:val="18"/>
              </w:rPr>
              <w:t xml:space="preserve"> 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Küresel pazar:</w:t>
            </w:r>
            <w:r>
              <w:rPr>
                <w:rFonts w:ascii="Arial" w:hAnsi="Arial" w:eastAsia="Arial"/>
                <w:sz w:val="18"/>
              </w:rPr>
              <w:t xml:space="preserve"> Veri lisanslama, API aboneliği ve doğrulama motoru uyarlamasıyla çeşitlendirilmiş gelir kanalları; benzer açığı yaşayan ülkelere motor lisanslama fırsatı.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İstihdam:</w:t>
            </w:r>
            <w:r>
              <w:rPr>
                <w:rFonts w:ascii="Arial" w:hAnsi="Arial" w:eastAsia="Arial"/>
                <w:sz w:val="18"/>
              </w:rPr>
              <w:t xml:space="preserve"> Proje sonrası 2 yıl içinde veri operasyonları, API mühendisliği ve iş geliştirme rollerini kapsayan 5-10 kişilik spin-off hedefi (gelir ve finansman kilometre taşlarına bağlı; muhafazakâr senaryoda daha düşük tutulur);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Rekabetçilik:</w:t>
            </w:r>
            <w:r>
              <w:rPr>
                <w:rFonts w:ascii="Arial" w:hAnsi="Arial" w:eastAsia="Arial"/>
                <w:sz w:val="18"/>
              </w:rPr>
              <w:t xml:space="preserve"> Yabancı besin veri tabanlarına bağımlılığı azaltan, Türk gıdalarını kapsayan ulusal alternatif (ithal ikamesi); ihracat ve yerli sağlık teknolojileri için doğruluk avantajı; yeni yerli firmaların önünü açma.</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Ekonomik güvenlik:</w:t>
            </w:r>
            <w:r>
              <w:rPr>
                <w:rFonts w:ascii="Arial" w:hAnsi="Arial" w:eastAsia="Arial"/>
                <w:sz w:val="18"/>
              </w:rPr>
              <w:t xml:space="preserve"> 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Siber güvenlik / veri egemenliği:</w:t>
            </w:r>
            <w:r>
              <w:rPr>
                <w:rFonts w:ascii="Arial" w:hAnsi="Arial" w:eastAsia="Arial"/>
                <w:sz w:val="18"/>
              </w:rPr>
              <w:t xml:space="preserve"> Çekirdek veri ve model altyapısının kurum/proje donanımı ve sözleşmeyle tahsis edilen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(Zenodo / HuggingFace), 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ve USDA/EFSA ekosistemi, yazılım ve sağlık teknolojisi geliştiricileri,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 ve 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TİM ve ilgili ihracatçı birlikleri, sağlık teknolojisi girişimleri, diyetisyenler, kamu paydaşları</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