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By the midterm stage, OpenNutri has a working core system. The crawler collects metadata from Europe PMC, OpenAlex, Semantic Scholar, and DergiPark; passes candidates through staged relevance checks; imports suitable PDFs into the Supabase layer; and hands those papers to the annotator interface. The annotator opens the paper on top of the PDF, stores food-item and nutrient entries, and turns user decisions into feedback signals for later runs.</w:t>
      </w:r>
    </w:p>
    <w:p>
      <w:r>
        <w:t>Three technical decisions define this stage. First, the system performs strong pre-filtering before PDF download, so expert time is spent on stronger candidates. Second, English and Turkish literature are managed as separate target pools, which places Turkish studies inside the direct target scope. Third, expert annotation is part of a closed loop: user decisions become signals that improve later crawler runs.</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Next phase</w:t>
            </w:r>
          </w:p>
        </w:tc>
        <w:tc>
          <w:tcPr>
            <w:tcW w:type="dxa" w:w="3213"/>
          </w:tcPr>
          <w:p>
            <w:r>
              <w:t>This report focuses on the first three working items</w:t>
            </w:r>
          </w:p>
        </w:tc>
      </w:tr>
    </w:tbl>
    <w:p>
      <w:r>
        <w:t>Table 2 summarizes the main parts of the running system and the role of each part.</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Capabilities running at this stage</w:t>
            </w:r>
          </w:p>
        </w:tc>
        <w:tc>
          <w:tcPr>
            <w:tcW w:type="dxa" w:w="3213"/>
          </w:tcPr>
          <w:p>
            <w:r>
              <w:t>Role in the project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Moves more selective and traceable papers into the annotator queue</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Keeps the UI, crawler, and feedback layer on the same data contract</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Lets the expert user work directly on the document in a controlled way</w:t>
            </w:r>
          </w:p>
        </w:tc>
      </w:tr>
      <w:tr>
        <w:tc>
          <w:tcPr>
            <w:tcW w:type="dxa" w:w="3213"/>
          </w:tcPr>
          <w:p>
            <w:r>
              <w:t>Learning feedback loop</w:t>
            </w:r>
          </w:p>
        </w:tc>
        <w:tc>
          <w:tcPr>
            <w:tcW w:type="dxa" w:w="3213"/>
          </w:tcPr>
          <w:p>
            <w:r>
              <w:t>Event logging, global labels, feedback terms, query-batch signals</w:t>
            </w:r>
          </w:p>
        </w:tc>
        <w:tc>
          <w:tcPr>
            <w:tcW w:type="dxa" w:w="3213"/>
          </w:tcPr>
          <w:p>
            <w:r>
              <w:t>Converts user decisions into later search and ranking signals</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midterm output is a working core data flow. Paper acquisition, annotation storage, and the feedback chain already operate on the same infrastructure.</w:t>
      </w:r>
    </w:p>
    <w:p>
      <w:r>
        <w:br w:type="page"/>
      </w:r>
    </w:p>
    <w:p>
      <w:pPr>
        <w:pStyle w:val="Heading1"/>
      </w:pPr>
      <w:r>
        <w:t>PROJECT OBJECTIVE AND IMPORTANCE</w:t>
      </w:r>
    </w:p>
    <w:p>
      <w:pPr>
        <w:pStyle w:val="Heading2"/>
      </w:pPr>
      <w:r>
        <w:t>Project Objective</w:t>
      </w:r>
    </w:p>
    <w:p>
      <w:r>
        <w:t>The objective of OpenNutri is to build a platform that turns food-composition data scattered across scientific literature into structured records while preserving the link to the source paper. To achieve that goal, the project establishes three capabilities:</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make the core version of this structure run end to end. The current work establishes the data infrastructure, user workflow, and feedback loop in the same system.</w:t>
      </w:r>
    </w:p>
    <w:p>
      <w:pPr>
        <w:pStyle w:val="Heading2"/>
      </w:pPr>
      <w:r>
        <w:t>Project Importance</w:t>
      </w:r>
    </w:p>
    <w:p>
      <w:r>
        <w:t>The importance of the project starts with the data-access problem. Food-composition knowledge is published in thousands of PDFs, but it rarely exists as structured, queryable, source-linked data. OpenNutri targets that gap directly.</w:t>
      </w:r>
    </w:p>
    <w:p>
      <w:r>
        <w:t>This need is especially visible in Turkish literature. Many studies published in Turkey remain inside DergiPark and similar archives without becoming part of standard international food-data infrastructure. As a result, local foods, local varieties, and Turkish-language studies remain underrepresented in those systems. The EN/TR workflow split is therefore a scope decision with direct technical consequences.</w:t>
      </w:r>
    </w:p>
    <w:p>
      <w:r>
        <w:t>The second major point is expert efficiency. Expert annotation is expensive and limited. OpenNutri combines retrieval, pre-filtering, PDF validation, and feedback so stronger candidates reach the expert user, and expert decisions improve the next run.</w:t>
      </w:r>
    </w:p>
    <w:p>
      <w:r>
        <w:t>In the longer term, this approach can support researchers, health-tech products, public institutions, and export-oriented producers through a domestic data infrastructure. By the midterm stage, the technical foundation for that goal is already in place.</w:t>
      </w:r>
    </w:p>
    <w:p>
      <w:r>
        <w:br w:type="page"/>
      </w:r>
    </w:p>
    <w:p>
      <w:pPr>
        <w:pStyle w:val="Heading1"/>
      </w:pPr>
      <w:r>
        <w:t>LITERATURE REVIEW</w:t>
      </w:r>
    </w:p>
    <w:p>
      <w:r>
        <w:t>The literature review examined both food-data standards and scientific-document processing tools. It covered academic papers, databases, open-access archives, ontologies, and the software ecosystems used in the implementation.</w:t>
      </w:r>
    </w:p>
    <w:p>
      <w:pPr>
        <w:pStyle w:val="Heading2"/>
      </w:pPr>
      <w:r>
        <w:t>1. Food data and reference vocabularies</w:t>
      </w:r>
    </w:p>
    <w:p>
      <w:r>
        <w:t>OpenNutri’s data model is built around a shared vocabulary. FoodData Central [1] and the FAO/INFOODS matching approach [2] were reviewed, and canonical foods and canonical nutrients were treated as separate concepts. This supports the use of the same vocabulary across annotation and retrieval tasks.</w:t>
      </w:r>
    </w:p>
    <w:p>
      <w:r>
        <w:t>Ontology-centered work such as FoodOn [3] is relevant for standardizing food names. Such ontologies make clear why different names from different sources must be mapped onto shared concepts.</w:t>
      </w:r>
    </w:p>
    <w:p>
      <w:pPr>
        <w:pStyle w:val="Heading2"/>
      </w:pPr>
      <w:r>
        <w:t>2. Scientific literature sources</w:t>
      </w:r>
    </w:p>
    <w:p>
      <w:r>
        <w:t>PubMed Central [4] and Europe PMC [5] were evaluated as core external sources because they provide structured access to open-access biomedical and life-science literature. DergiPark [6] is especially important for reaching Turkish-language studies. Taken together, these sources show the need to handle international and local literature in the same system while respecting different language and source characteristics.</w:t>
      </w:r>
    </w:p>
    <w:p>
      <w:pPr>
        <w:pStyle w:val="Heading2"/>
      </w:pPr>
      <w:r>
        <w:t>3. Human-in-the-loop learning approach</w:t>
      </w:r>
    </w:p>
    <w:p>
      <w:r>
        <w:t>Human-in-the-loop methodology [7] keeps the expert user as an active part of extraction and verification. It supports treating expert decisions not only as final labels but also as feedback signals that can be reused later.</w:t>
      </w:r>
    </w:p>
    <w:p>
      <w:pPr>
        <w:pStyle w:val="Heading2"/>
      </w:pPr>
      <w:r>
        <w:t>4. PDF processing and UI infrastructure</w:t>
      </w:r>
    </w:p>
    <w:p>
      <w:r>
        <w:t>Because article content is usually distributed as PDF, in-browser PDF processing became essential. PDF.js [8] and React [9] were evaluated together. In literature-annotation settings, the fragmented PDF text layer makes highlighting, selection, and text matching important problems in addition to basic rendering.</w:t>
      </w:r>
    </w:p>
    <w:p>
      <w:pPr>
        <w:pStyle w:val="Heading2"/>
      </w:pPr>
      <w:r>
        <w:t>5. Platform components used in the implementation</w:t>
      </w:r>
    </w:p>
    <w:p>
      <w:r>
        <w:t>Supabase [10] was evaluated because it combines authentication, row-level access control, file storage, and client access in one platform. Platforms of this kind are suitable for systems where the user interface and the data pipeline share the same backend.</w:t>
      </w:r>
    </w:p>
    <w:p>
      <w:r>
        <w:t>Taken together, this literature and platform review explains why the problem domain calls for a shared vocabulary, multi-source access, expert annotation on top of PDFs, and a human-in-the-loop verification model.</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Four engineering choices define the current implementation: separating paper discovery from PDF acquisition, using a shared vocabulary and shared database, building annotation around a dynamic row model, and storing user decisions as event-based feedback. The following subsections focus on how that structure works rather than listing tools in isolation.</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This version is built around two connected technical clusters. On the user side, a React 19 + Vite web interface works together with PDF.js and react-pdf so that PDF viewing, highlighting, and structured entry happen on the same screen. On the backend side, Supabase brings authentication, PostgreSQL, and file storage into the same application layer.</w:t>
      </w:r>
    </w:p>
    <w:p>
      <w:r>
        <w:t>The acquisition and feedback pipeline is implemented in Python. Europe PMC, PubMed Central, OpenAlex, Semantic Scholar, and DergiPark are used as paper sources, while USDA FoodData Central [1] is used as the reference data source. Metadata-level semantic suitability is supported by a dual English + multilingual embedding setup based on sentence-transformers.</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This structure keeps the UI, crawler, and feedback logic on the same data model. The names used in the UI and the terms reused by the crawler rely on the same reference vocabulary. The reason a paper entered the system and the later annotation built on top of it are tied to the same paper record.</w:t>
      </w:r>
    </w:p>
    <w:p>
      <w:r>
        <w:t>Figure 3 presents a simplified database summary derived from the active Supabase schema.</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Figure 3. Simplified view of the main database structure used in the midterm system, grouped into four responsibilities so the project is easier to understand. The summary is derived from the active Supabase schema.</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The interface follows two principles. The user can add as many food items and nutrient values as the paper requires. The PDF and the form are presented in the same working screen so the user can read the document and move quickly into structured entry. In practice, this gives the expert user a document-based verification role.</w:t>
      </w:r>
    </w:p>
    <w:p>
      <w:r>
        <w:t>Three interface behaviors are especially important:</w:t>
      </w:r>
    </w:p>
    <w:p>
      <w:pPr>
        <w:pStyle w:val="ListBullet"/>
      </w:pPr>
      <w:r>
        <w:t xml:space="preserve">a </w:t>
      </w:r>
      <w:r>
        <w:rPr>
          <w:rFonts w:ascii="Courier New" w:hAnsi="Courier New" w:eastAsia="Courier New"/>
        </w:rPr>
        <w:t>test mode</w:t>
      </w:r>
      <w:r>
        <w:t xml:space="preserve"> that allows safe use of the full UI without writing to the real database,</w:t>
      </w:r>
    </w:p>
    <w:p>
      <w:pPr>
        <w:pStyle w:val="ListBullet"/>
      </w:pPr>
      <w:r>
        <w:t xml:space="preserve">a </w:t>
      </w:r>
      <w:r>
        <w:rPr>
          <w:rFonts w:ascii="Courier New" w:hAnsi="Courier New" w:eastAsia="Courier New"/>
        </w:rPr>
        <w:t>global skip</w:t>
      </w:r>
      <w:r>
        <w:t xml:space="preserve"> action that marks a paper as containing no relevant data for all users, with a short undo window,</w:t>
      </w:r>
    </w:p>
    <w:p>
      <w:pPr>
        <w:pStyle w:val="ListBullet"/>
      </w:pPr>
      <w:r>
        <w:t>counting only valid food items so empty placeholder cards do not affect saved totals.</w:t>
      </w:r>
    </w:p>
    <w:p>
      <w:r>
        <w:t>Figure 4 is the placeholder for the final annotator UI screenshot.</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_en.png"/>
                    <pic:cNvPicPr/>
                  </pic:nvPicPr>
                  <pic:blipFill>
                    <a:blip r:embed="rId12"/>
                    <a:stretch>
                      <a:fillRect/>
                    </a:stretch>
                  </pic:blipFill>
                  <pic:spPr>
                    <a:xfrm>
                      <a:off x="0" y="0"/>
                      <a:ext cx="5669280" cy="3130743"/>
                    </a:xfrm>
                    <a:prstGeom prst="rect"/>
                  </pic:spPr>
                </pic:pic>
              </a:graphicData>
            </a:graphic>
          </wp:inline>
        </w:drawing>
      </w:r>
    </w:p>
    <w:p>
      <w:r>
        <w:t>Figure 4. Before final submission, this visual should be replaced with a real screenshot of the current annotator interface. The image should include the PDF viewer, an example highlighted nutrient, the food-item form, and the progress/status area in the same frame.</w:t>
      </w:r>
    </w:p>
    <w:p>
      <w:pPr>
        <w:pStyle w:val="Heading2"/>
      </w:pPr>
      <w:r>
        <w:t>5. Crawler, filtering, and acquisition method</w:t>
      </w:r>
    </w:p>
    <w:p>
      <w:r>
        <w:t>The crawler is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a </w:t>
      </w:r>
      <w:r>
        <w:rPr>
          <w:rFonts w:ascii="Courier New" w:hAnsi="Courier New" w:eastAsia="Courier New"/>
        </w:rPr>
        <w:t>search gate</w:t>
      </w:r>
      <w:r>
        <w:t xml:space="preserve">, meaning the first eligibility threshold, and a </w:t>
      </w:r>
      <w:r>
        <w:rPr>
          <w:rFonts w:ascii="Courier New" w:hAnsi="Courier New" w:eastAsia="Courier New"/>
        </w:rPr>
        <w:t>metadata filter</w:t>
      </w:r>
      <w:r>
        <w:t>, meaning the more detailed relevance screen over titles and abstracts</w:t>
      </w:r>
    </w:p>
    <w:p>
      <w:pPr>
        <w:pStyle w:val="ListBullet"/>
      </w:pPr>
      <w:r>
        <w:rPr>
          <w:b/>
        </w:rPr>
        <w:t>Acquisition:</w:t>
      </w:r>
      <w:r>
        <w:t xml:space="preserve"> downloading PDFs and validating full text only for sufficiently strong candidates</w:t>
      </w:r>
    </w:p>
    <w:p>
      <w:r>
        <w:t>This separation is the main efficiency decision on the crawler side. It reduces unnecessary PDF downloads and moves fewer, stronger candidates into full-text acquisition.</w:t>
      </w:r>
    </w:p>
    <w:p>
      <w:r>
        <w:t>The filtering stage combines three signal groups: domain-specific keyword and unit clues, semantic suitability based on embeddings, and feedback signals learned from previous user behavior.</w:t>
      </w:r>
    </w:p>
    <w:p>
      <w:r>
        <w:t xml:space="preserve">Two crawler capabilities are especially important at this stage: separate target pools for English and Turkish literature, and feedback reuse at both term and </w:t>
      </w:r>
      <w:r>
        <w:rPr>
          <w:rFonts w:ascii="Courier New" w:hAnsi="Courier New" w:eastAsia="Courier New"/>
        </w:rPr>
        <w:t>query batch</w:t>
      </w:r>
      <w:r>
        <w:t xml:space="preserve"> level, where a query batch is a bounded search run executed under the same query composition.</w:t>
      </w:r>
    </w:p>
    <w:p>
      <w:r>
        <w:t>Figure 5 shows the numeric summary produced by the crawler's staged flow.</w:t>
      </w:r>
    </w:p>
    <w:p>
      <w:pPr>
        <w:jc w:val="center"/>
      </w:pPr>
      <w:r>
        <w:drawing>
          <wp:inline xmlns:a="http://schemas.openxmlformats.org/drawingml/2006/main" xmlns:pic="http://schemas.openxmlformats.org/drawingml/2006/picture">
            <wp:extent cx="5669280" cy="3099168"/>
            <wp:docPr id="5" name="Picture 5"/>
            <wp:cNvGraphicFramePr>
              <a:graphicFrameLocks noChangeAspect="1"/>
            </wp:cNvGraphicFramePr>
            <a:graphic>
              <a:graphicData uri="http://schemas.openxmlformats.org/drawingml/2006/picture">
                <pic:pic>
                  <pic:nvPicPr>
                    <pic:cNvPr id="0" name="figure_4_crawler_funnel_example_en.png"/>
                    <pic:cNvPicPr/>
                  </pic:nvPicPr>
                  <pic:blipFill>
                    <a:blip r:embed="rId13"/>
                    <a:stretch>
                      <a:fillRect/>
                    </a:stretch>
                  </pic:blipFill>
                  <pic:spPr>
                    <a:xfrm>
                      <a:off x="0" y="0"/>
                      <a:ext cx="5669280" cy="3099168"/>
                    </a:xfrm>
                    <a:prstGeom prst="rect"/>
                  </pic:spPr>
                </pic:pic>
              </a:graphicData>
            </a:graphic>
          </wp:inline>
        </w:drawing>
      </w:r>
    </w:p>
    <w:p>
      <w:r>
        <w:t>Figure 5. Stage counts derived from the manifest summary of a representative Turkish live run.</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 xml:space="preserve">The feedback update script reads the </w:t>
      </w:r>
      <w:r>
        <w:rPr>
          <w:rFonts w:ascii="Courier New" w:hAnsi="Courier New" w:eastAsia="Courier New"/>
        </w:rPr>
        <w:t>event log</w:t>
      </w:r>
      <w:r>
        <w:t>, the chronological record of save and skip decisions, and turns it into learning signals. Cases with meaningful saved data are treated as positive. Papers that clearly contain no relevant data or are repeatedly skipped are treated as negative. Mixed cases are kept out of training. User decisions are reused as soft scoring signals in later crawler runs.</w:t>
      </w:r>
    </w:p>
    <w:p>
      <w:r>
        <w:t>When the end-user paper pool becomes too small, the paper-stock refill script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Midterm scope boundary</w:t>
      </w:r>
    </w:p>
    <w:p>
      <w:r>
        <w:t>This report focuses on the first three working semester goals and the data/feedback infrastructure supporting them. Document segmentation and the LLM-based extraction process are deferred to the second semester.</w:t>
      </w:r>
    </w:p>
    <w:p>
      <w:r>
        <w:t>The annotator screenshot is still left as a placeholder in this report. It should be replaced with the latest UI state before final submission.</w:t>
      </w:r>
    </w:p>
    <w:p>
      <w:r>
        <w:br w:type="page"/>
      </w:r>
    </w:p>
    <w:p>
      <w:pPr>
        <w:pStyle w:val="Heading1"/>
      </w:pPr>
      <w:r>
        <w:t>REFERENCES</w:t>
      </w:r>
    </w:p>
    <w:p>
      <w:pPr>
        <w:pStyle w:val="ListNumber"/>
      </w:pPr>
      <w:r>
        <w:t>U.S. Department of Agriculture. *FoodData Central*. Available at: https://fdc.nal.usda.gov/ (Accessed: April 2, 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Available at: https://pmc.ncbi.nlm.nih.gov/ (Accessed: April 2, 2026).</w:t>
      </w:r>
    </w:p>
    <w:p>
      <w:pPr>
        <w:pStyle w:val="ListNumber"/>
      </w:pPr>
      <w:r>
        <w:t>Europe PMC. *Europe PMC*. Available at: https://europepmc.org/ (Accessed: April 2, 2026).</w:t>
      </w:r>
    </w:p>
    <w:p>
      <w:pPr>
        <w:pStyle w:val="ListNumber"/>
      </w:pPr>
      <w:r>
        <w:t>DergiPark Akademik. *DergiPark Akademik*. Available at: https://dergipark.org.tr/ (Accessed: April 2, 2026).</w:t>
      </w:r>
    </w:p>
    <w:p>
      <w:pPr>
        <w:pStyle w:val="ListNumber"/>
      </w:pPr>
      <w:r>
        <w:t>Monarch RM. *Human-in-the-Loop Machine Learning*. Manning Publications; 2021.</w:t>
      </w:r>
    </w:p>
    <w:p>
      <w:pPr>
        <w:pStyle w:val="ListNumber"/>
      </w:pPr>
      <w:r>
        <w:t>Mozilla. *PDF.js*. Available at: https://mozilla.github.io/pdf.js/ (Accessed: April 2, 2026).</w:t>
      </w:r>
    </w:p>
    <w:p>
      <w:pPr>
        <w:pStyle w:val="ListNumber"/>
      </w:pPr>
      <w:r>
        <w:t>React. *React Documentation*. Available at: https://react.dev/ (Accessed: April 2, 2026).</w:t>
      </w:r>
    </w:p>
    <w:p>
      <w:pPr>
        <w:pStyle w:val="ListNumber"/>
      </w:pPr>
      <w:r>
        <w:t>Supabase. *Supabase Documentation*. Available at: https://supabase.com/docs (Accessed: April 2,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