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Arasınav itibarıyla OpenNutri'nin çalışan çekirdeği kurulmuştur. Crawler, Europe PMC, OpenAlex, Semantic Scholar ve DergiPark kaynaklarından metadata toplar; search gate ve metadata filter ile adayları eler; uygun PDF dosyalarını Supabase katmanına aktarır. Annotator arayüzü bu makaleleri PDF üzerinde açar, food ve nutrient girdilerini kaydeder, kullanıcı kararlarını event ve global label kayıtları üzerinden geri beslemeye dönüştürür.</w:t>
      </w:r>
    </w:p>
    <w:p>
      <w:r>
        <w:t>Bu akışta üç teknik karar öne çıkmaktadır. İlk karar, PDF indirmeden önce güçlü ön eleme yapmaktır; böylece uzman önüne daha seçilmiş makaleler gelir. İkinci karar, Türkçe ve İngilizce literatürü ayrı hedef havuzlar olarak yönetmektir; bu sayede Türkçe çalışmalar sistemin doğrudan kapsama alanına girer. Üçüncü karar, uzman anotasyonunu sonraki crawler koşularını iyileştiren bir sinyale dönüştürmektir.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Sonraki aşama</w:t>
            </w:r>
          </w:p>
        </w:tc>
        <w:tc>
          <w:tcPr>
            <w:tcW w:type="dxa" w:w="3213"/>
          </w:tcPr>
          <w:p>
            <w:r>
              <w:t>Bu raporun odağı çalışan ilk üç başlıktır</w:t>
            </w:r>
          </w:p>
        </w:tc>
      </w:tr>
    </w:tbl>
    <w:p>
      <w:r>
        <w:t>Tablo 2, çalışan sistemin ana parçalarını ve her parçanın projedeki rolünü özetlemektedir.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Bu aşamada çalışan yetenekler</w:t>
            </w:r>
          </w:p>
        </w:tc>
        <w:tc>
          <w:tcPr>
            <w:tcW w:type="dxa" w:w="3213"/>
          </w:tcPr>
          <w:p>
            <w:r>
              <w:t>Projedeki rolü</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Annotator kuyruğuna daha seçilmiş ve izlenebilir makaleler taşır</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katmanını aynı veri sözleşmesi üzerinde birleştirir</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kullanıcının belge üzerinde kontrollü ve hızlı çalışmasını sağlar</w:t>
            </w:r>
          </w:p>
        </w:tc>
      </w:tr>
      <w:tr>
        <w:tc>
          <w:tcPr>
            <w:tcW w:type="dxa" w:w="3213"/>
          </w:tcPr>
          <w:p>
            <w:r>
              <w:t>Öğrenen geri besleme döngüsü</w:t>
            </w:r>
          </w:p>
        </w:tc>
        <w:tc>
          <w:tcPr>
            <w:tcW w:type="dxa" w:w="3213"/>
          </w:tcPr>
          <w:p>
            <w:r>
              <w:t>Event kaydı, global label kayıtları, geri besleme terimleri, query-batch sinyalleri</w:t>
            </w:r>
          </w:p>
        </w:tc>
        <w:tc>
          <w:tcPr>
            <w:tcW w:type="dxa" w:w="3213"/>
          </w:tcPr>
          <w:p>
            <w:r>
              <w:t>Kullanıcı kararlarını daha sonraki arama ve sıralamayı iyileştiren sinyallere dönüştürür</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Arasınav çıktısı çalışan bir temel veri akışıdır. Makale edinimi, anotasyon kaydı ve geri besleme zinciri aynı altyapıda birleşmiştir.</w:t>
      </w:r>
    </w:p>
    <w:p>
      <w:r>
        <w:br w:type="page"/>
      </w:r>
    </w:p>
    <w:p>
      <w:pPr>
        <w:pStyle w:val="Heading1"/>
      </w:pPr>
      <w:r>
        <w:t>PROJENİN AMACI VE ÖNEMİ</w:t>
      </w:r>
    </w:p>
    <w:p>
      <w:pPr>
        <w:pStyle w:val="Heading2"/>
      </w:pPr>
      <w:r>
        <w:t>Projenin Amacı</w:t>
      </w:r>
    </w:p>
    <w:p>
      <w:r>
        <w:t>OpenNutri'nin amacı, bilimsel literatürde dağınık halde bulunan gıda bileşimi verilerini kaynak bağlantısını koruyarak yapısal veriye dönüştüren bir platform kurmaktır. Bu amaç için proje üç temel yetenek kurmaktadır: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aşamasındaki odak, bu yapının çekirdek sürümünü ayağa kaldırmaktır. Mevcut çalışma; literatür tarama, uzman anotasyon, ortak veri modeli ve geri besleme zincirini aynı sistem içinde çalışır hale getirmektedir.</w:t>
      </w:r>
    </w:p>
    <w:p>
      <w:pPr>
        <w:pStyle w:val="Heading2"/>
      </w:pPr>
      <w:r>
        <w:t>Projenin Önemi</w:t>
      </w:r>
    </w:p>
    <w:p>
      <w:r>
        <w:t>Bu projenin önemi, gıda bileşimi bilgisinin binlerce PDF içinde dağınık halde kalmasından doğar. Bilimsel veri vardır; fakat doğrudan sorgulanabilir, karşılaştırılabilir ve yeniden kullanılabilir kayıtlar halinde değildir. OpenNutri bu boşluğu, kaynak bağlantısını koruyan yapısal kayıtlar üreterek hedeflemektedir.</w:t>
      </w:r>
    </w:p>
    <w:p>
      <w:r>
        <w:t>Bu ihtiyaç Türkçe literatürde daha belirgindir. Türkiye'de yayımlanan birçok çalışma DergiPark ve benzeri arşivlerde bulunur; ancak bu çalışmaların verileri uluslararası standart veri tabanlarına düzenli biçimde girmez. Sonuç olarak yerel ürünler, yerel çeşitler ve Türkçe yayınlar dijital görünürlük kaybeder. EN/TR iş akışlarının ayrılması bu nedenle doğrudan kapsam belirleyen bir karardır.</w:t>
      </w:r>
    </w:p>
    <w:p>
      <w:r>
        <w:t>Projenin ikinci önemli yönü uzman zamanını korumasıdır. Uzman anotasyonu pahalı ve sınırlı bir kaynaktır. Bu nedenle OpenNutri makale bulma, ön eleme, PDF doğrulama ve kullanıcı geri beslemesini aynı zincirde birleştirir. Uzman kullanıcıya daha güçlü adaylar gelir; kullanıcı kararları da bir sonraki koşulda makale seçimini iyileştirir.</w:t>
      </w:r>
    </w:p>
    <w:p>
      <w:r>
        <w:t>Uzun vadede bu yaklaşım araştırmacılar, sağlık teknolojileri, kamu kurumları ve ihracat odaklı üreticiler için yerli veri altyapısı oluşturabilir. Arasınav itibarıyla bu hedefin teknik zemini kurulmuştur.</w:t>
      </w:r>
    </w:p>
    <w:p>
      <w:r>
        <w:br w:type="page"/>
      </w:r>
    </w:p>
    <w:p>
      <w:pPr>
        <w:pStyle w:val="Heading1"/>
      </w:pPr>
      <w:r>
        <w:t>KAYNAK ARAŞTIRMASI</w:t>
      </w:r>
    </w:p>
    <w:p>
      <w:r>
        <w:t>Kaynak araştırmasında hem gıda verisi standartları hem de bilimsel makale işleme araçları birlikte incelenmiştir. Akademik makalelerin yanında veri tabanları, açık erişim arşivleri, ontolojiler ve kullanılan yazılım ekosistemi değerlendirilmiştir.</w:t>
      </w:r>
    </w:p>
    <w:p>
      <w:pPr>
        <w:pStyle w:val="Heading2"/>
      </w:pPr>
      <w:r>
        <w:t>1. Gıda verisi ve referans sözlükleri</w:t>
      </w:r>
    </w:p>
    <w:p>
      <w:r>
        <w:t>OpenNutri'nin veri modeli serbest metin etiketleri yerine ortak sözlük mantığı üzerine kurulmuştur. FoodData Central [1] ve FAO/INFOODS eşleme yaklaşımı [2] incelenerek canonical food ve canonical nutrient kavramları ayrı tablolarda ele alınmıştır. Bu yaklaşım, anotasyon ve literatür tarama süreçlerinde ortak bir sözlük kullanımını desteklemektedir.</w:t>
      </w:r>
    </w:p>
    <w:p>
      <w:r>
        <w:t>FoodOn [3] gibi ontoloji tabanlı çalışmalar gıda adlarının standartlaştırılması açısından önemlidir. Bu tür ontolojiler, farklı kaynaklarda geçen gıda adlarını ortak kavramlar altında toplama ihtiyacını açık biçimde göstermektedir.</w:t>
      </w:r>
    </w:p>
    <w:p>
      <w:pPr>
        <w:pStyle w:val="Heading2"/>
      </w:pPr>
      <w:r>
        <w:t>2. Bilimsel literatür kaynakları</w:t>
      </w:r>
    </w:p>
    <w:p>
      <w:r>
        <w:t>PubMed Central [4] ve Europe PMC [5], açık erişimli biyomedikal ve yaşam bilimleri literatürüne düzenli erişim sağladıkları için temel dış kaynaklar olarak değerlendirilmiştir. DergiPark [6] ise özellikle Türkçe çalışmalara ulaşmak açısından önemlidir. Bu kaynakların birlikte değerlendirilmesi, uluslararası ve yerel literatürün aynı sistem içinde ama farklı sinyallerle ele alınması gereğini göstermektedir.</w:t>
      </w:r>
    </w:p>
    <w:p>
      <w:pPr>
        <w:pStyle w:val="Heading2"/>
      </w:pPr>
      <w:r>
        <w:t>3. İnsan-döngülü öğrenme yaklaşımı</w:t>
      </w:r>
    </w:p>
    <w:p>
      <w:r>
        <w:t>Human-in-the-loop yaklaşımı [7], bilimsel verilerin çıkarımı ve doğrulanmasında uzman kullanıcıyı sistemin aktif parçası olarak konumlandırır. Bu yaklaşım, uzman kararlarının yalnızca son etiket olarak değil, daha sonra yeniden kullanılabilecek geri besleme sinyalleri olarak ele alınmasını desteklemektedir.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Literatür anotasyonu bağlamında, PDF metin katmanındaki parçalanmış span yapısı nedeniyle yalnızca görüntüleme değil; seçim, vurgulama ve metin eşleme davranışları da önem kazanmaktadır.</w:t>
      </w:r>
    </w:p>
    <w:p>
      <w:pPr>
        <w:pStyle w:val="Heading2"/>
      </w:pPr>
      <w:r>
        <w:t>5. Kullanılan platform bileşenleri</w:t>
      </w:r>
    </w:p>
    <w:p>
      <w:r>
        <w:t>Supabase [10], kimlik doğrulama, satır düzeyi erişim kontrolü, dosya depolama ve istemci erişimini tek altyapıda birleştirdiği için değerlendirilmiştir. Bu tür platformlar, arayüz ve veri boru hattının aynı backend üzerinde çalıştığı sistemler için uygun temel sağlar.</w:t>
      </w:r>
    </w:p>
    <w:p>
      <w:r>
        <w:t>Bu literatür ve platform incelemesi, ortak sözlük kullanımı, çok kaynaklı erişim, PDF üzerinde uzman anotasyonu ve insan-döngülü doğrulama yaklaşımının problem alanı için neden gerekli olduğunu göstermektedir.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Arasınav sürümünde sistemi belirleyen dört mühendislik tercihi vardır: makale bulma ile PDF edinimini ayırmak, ortak sözlük ve ortak veritabanı kullanmak, anotasyonu dinamik satır modeliyle kurmak ve kullanıcı kararlarını event tabanlı geri besleme olarak saklamak. Aşağıdaki alt bölümler bu tercihlerin nasıl uygulandığını özetlemektedir.</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Projede kullanılan temel materyaller aşağıdaki gibidir:</w:t>
      </w:r>
    </w:p>
    <w:p>
      <w:pPr>
        <w:pStyle w:val="ListBullet"/>
      </w:pPr>
      <w:r>
        <w:rPr>
          <w:b/>
        </w:rPr>
        <w:t>Frontend çerçevesi:</w:t>
      </w:r>
      <w:r>
        <w:t xml:space="preserve"> React 19 + Vite</w:t>
      </w:r>
    </w:p>
    <w:p>
      <w:pPr>
        <w:pStyle w:val="ListBullet"/>
      </w:pPr>
      <w:r>
        <w:rPr>
          <w:b/>
        </w:rPr>
        <w:t>Backend ve depolama:</w:t>
      </w:r>
      <w:r>
        <w:t xml:space="preserve"> Supabase Auth, PostgreSQL, Storage</w:t>
      </w:r>
    </w:p>
    <w:p>
      <w:pPr>
        <w:pStyle w:val="ListBullet"/>
      </w:pPr>
      <w:r>
        <w:rPr>
          <w:b/>
        </w:rPr>
        <w:t>PDF işleme:</w:t>
      </w:r>
      <w:r>
        <w:t xml:space="preserve"> </w:t>
      </w:r>
      <w:r>
        <w:rPr>
          <w:rFonts w:ascii="Courier New" w:hAnsi="Courier New" w:eastAsia="Courier New"/>
        </w:rPr>
        <w:t>react-pdf</w:t>
      </w:r>
      <w:r>
        <w:t xml:space="preserve"> ve PDF.js</w:t>
      </w:r>
    </w:p>
    <w:p>
      <w:pPr>
        <w:pStyle w:val="ListBullet"/>
      </w:pPr>
      <w:r>
        <w:rPr>
          <w:b/>
        </w:rPr>
        <w:t>Veri boru hattı dili:</w:t>
      </w:r>
      <w:r>
        <w:t xml:space="preserve"> Python</w:t>
      </w:r>
    </w:p>
    <w:p>
      <w:pPr>
        <w:pStyle w:val="ListBullet"/>
      </w:pPr>
      <w:r>
        <w:rPr>
          <w:b/>
        </w:rPr>
        <w:t>Referans veri kaynağı:</w:t>
      </w:r>
      <w:r>
        <w:t xml:space="preserve"> USDA FoodData Central [1]</w:t>
      </w:r>
    </w:p>
    <w:p>
      <w:pPr>
        <w:pStyle w:val="ListBullet"/>
      </w:pPr>
      <w:r>
        <w:rPr>
          <w:b/>
        </w:rPr>
        <w:t>Makale kaynakları:</w:t>
      </w:r>
      <w:r>
        <w:t xml:space="preserve"> Europe PMC [5], PubMed Central [4], OpenAlex, Semantic Scholar, DergiPark [6]</w:t>
      </w:r>
    </w:p>
    <w:p>
      <w:pPr>
        <w:pStyle w:val="ListBullet"/>
      </w:pPr>
      <w:r>
        <w:rPr>
          <w:b/>
        </w:rPr>
        <w:t>Embedding katmanı:</w:t>
      </w:r>
      <w:r>
        <w:t xml:space="preserve"> </w:t>
      </w:r>
      <w:r>
        <w:rPr>
          <w:rFonts w:ascii="Courier New" w:hAnsi="Courier New" w:eastAsia="Courier New"/>
        </w:rPr>
        <w:t>sentence-transformers</w:t>
      </w:r>
      <w:r>
        <w:t xml:space="preserve"> tabanlı İngilizce + çok dilli ikili gömme yapısı</w:t>
      </w:r>
    </w:p>
    <w:p>
      <w:r>
        <w:t>Bu bileşenler, gereksinimlere göre iki tarafta kullanılmıştır: kullanıcı iş akışını yöneten web uygulaması ve makale havuzunu besleyen veri boru hattı.</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yapı arayüzü, crawler'ı ve geri besleme mantığını aynı veri modeli üzerinde birleştirir. Kullanıcı arayüzünde seçilen gıda ve nutrient adları ile crawler tarafında kullanılan terimler aynı referans sözlüğe dayanır. Bir makalenin sisteme giriş kaydı ile kullanıcı anotasyonları da aynı makale kaydı etrafında tutulur.</w:t>
      </w:r>
    </w:p>
    <w:p>
      <w:r>
        <w:t>Şekil 3, aktif veritabanı şemasını tanımlayan migration betiği temel alınarak hazırlanmış, sadeleştirilmiş bir veritabanı özeti sunmaktadır.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Şekil 3. Arasınav sürümündeki temel veritabanı yapısının, projeyi anlamayı kolaylaştıracak dört sorumluluk alanı altında özetlenmiş görünümü. Şema, veritabanı migration betiği üzerinden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 iki ana prensiple tasarlanmıştır. Kullanıcı gerektiği kadar food item ve her food item altında gerektiği kadar nutrient değeri ekleyebilir. PDF görüntüleme ile form aynı çalışma ekranında birleşir; kullanıcı belgeyi okurken ilgili nutrient ifadelerini görüp daha hızlı veri girişi yapabilir. Bu yapı uzman kullanıcıya belge üzerinden doğrulama yapan aktif bir rol verir.</w:t>
      </w:r>
    </w:p>
    <w:p>
      <w:r>
        <w:t>Bu bölümde özellikle üç davranış önemlidir:</w:t>
      </w:r>
    </w:p>
    <w:p>
      <w:pPr>
        <w:pStyle w:val="ListBullet"/>
      </w:pPr>
      <w:r>
        <w:t>test mode ile gerçek veritabanına yazmadan güvenli deneme yapılabilmesi,</w:t>
      </w:r>
    </w:p>
    <w:p>
      <w:pPr>
        <w:pStyle w:val="ListBullet"/>
      </w:pPr>
      <w:r>
        <w:t>global "definitely no data" işaretleme ve kısa süreli geri alma akışı,</w:t>
      </w:r>
    </w:p>
    <w:p>
      <w:pPr>
        <w:pStyle w:val="ListBullet"/>
      </w:pPr>
      <w:r>
        <w:t xml:space="preserve">boş placeholder kartların </w:t>
      </w:r>
      <w:r>
        <w:rPr>
          <w:rFonts w:ascii="Courier New" w:hAnsi="Courier New" w:eastAsia="Courier New"/>
        </w:rPr>
        <w:t>food_item_count</w:t>
      </w:r>
      <w:r>
        <w:t xml:space="preserve"> değerini şişirmesini önlemek için geçerli food item'ların sayılması.</w:t>
      </w:r>
    </w:p>
    <w:p>
      <w:r>
        <w:t>Şekil 4, crawler hattının aşamalı akışından üretilen sayısal özeti göstermektedir.</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png"/>
                    <pic:cNvPicPr/>
                  </pic:nvPicPr>
                  <pic:blipFill>
                    <a:blip r:embed="rId12"/>
                    <a:stretch>
                      <a:fillRect/>
                    </a:stretch>
                  </pic:blipFill>
                  <pic:spPr>
                    <a:xfrm>
                      <a:off x="0" y="0"/>
                      <a:ext cx="5669280" cy="3099168"/>
                    </a:xfrm>
                    <a:prstGeom prst="rect"/>
                  </pic:spPr>
                </pic:pic>
              </a:graphicData>
            </a:graphic>
          </wp:inline>
        </w:drawing>
      </w:r>
    </w:p>
    <w:p>
      <w:r>
        <w:t>Şekil 4. Temsili bir Türkçe canlı koşunun manifest özetinden türetilen aşama sayıları.</w:t>
      </w:r>
    </w:p>
    <w:p>
      <w:r>
        <w:t>Şekil 5, annotator ekran görüntüsü için yer tutucudur.</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png"/>
                    <pic:cNvPicPr/>
                  </pic:nvPicPr>
                  <pic:blipFill>
                    <a:blip r:embed="rId13"/>
                    <a:stretch>
                      <a:fillRect/>
                    </a:stretch>
                  </pic:blipFill>
                  <pic:spPr>
                    <a:xfrm>
                      <a:off x="0" y="0"/>
                      <a:ext cx="5669280" cy="3130743"/>
                    </a:xfrm>
                    <a:prstGeom prst="rect"/>
                  </pic:spPr>
                </pic:pic>
              </a:graphicData>
            </a:graphic>
          </wp:inline>
        </w:drawing>
      </w:r>
    </w:p>
    <w:p>
      <w:r>
        <w:t>Şekil 5. Nihai teslimden önce bu görsel, çalışan annotator ekranının gerçek ekran görüntüsü ile değiştirilmelidir. Görselde PDF viewer, vurgulanmış nutrient örneği, food item formu ve ilerleme alanı aynı karede görünmelidir.</w:t>
      </w:r>
    </w:p>
    <w:p>
      <w:pPr>
        <w:pStyle w:val="Heading2"/>
      </w:pPr>
      <w:r>
        <w:t>5. Crawler, filtreleme ve edinme yöntemi</w:t>
      </w:r>
    </w:p>
    <w:p>
      <w:r>
        <w:t>Crawler tarafı kademeli seçim yapan bir boru hattı olarak tasarlanmıştır. Temel yaklaşım üç aşamadan oluşur: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search gate ve metadata filter uygulama</w:t>
      </w:r>
    </w:p>
    <w:p>
      <w:pPr>
        <w:pStyle w:val="ListBullet"/>
      </w:pPr>
      <w:r>
        <w:rPr>
          <w:b/>
        </w:rPr>
        <w:t>Acquisition:</w:t>
      </w:r>
      <w:r>
        <w:t xml:space="preserve"> Ancak yeterince iyi bulunan adaylar için PDF indirme ve tam metin doğrulama</w:t>
      </w:r>
    </w:p>
    <w:p>
      <w:r>
        <w:t>Bu ayrım, crawler tarafındaki en kritik verimlilik kararlarından biridir. Tüm adayların PDF'ini indirmek yerine önce metadata düzeyinde ön eleme yapılır. Böylece tam metin aşamasına daha az sayıda ama daha güçlü aday geçer.</w:t>
      </w:r>
    </w:p>
    <w:p>
      <w:r>
        <w:t>Filtreleme mantığı üç ana sinyal grubuna dayanır: konu ile ilişkili kelime ve birim ipuçları, semantik benzerlik/embedding uygunluğu ve önceki kullanıcı etiketlerinden öğrenilen geri besleme sinyalleri.</w:t>
      </w:r>
    </w:p>
    <w:p>
      <w:r>
        <w:t>Crawler tarafında iki yetenek belirleyicidir: İngilizce ve Türkçe literatür için ayrı hedef havuzların yönetilmesi ve geri beslemenin sorgu partileri düzeyinde de değerlendirilmesi.</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t>Geri besleme güncelleme betiği, kullanıcı olaylarından öğretici sinyaller üretir. Anlamlı veri kaydedilen makaleler olumlu örnek, açık biçimde veri içermeyen veya tekrarlı biçimde atlanan makaleler olumsuz örnek olarak değerlendirilir. Çelişkili durumlar öğrenme dışında bırakılır.</w:t>
      </w:r>
    </w:p>
    <w:p>
      <w:r>
        <w:t>Kullanıcı kararı, sonraki crawler koşularında kullanılan yumuşak puanlama sinyalidir.</w:t>
      </w:r>
    </w:p>
    <w:p>
      <w:r>
        <w:t>Son kullanıcıya yeterli makale kalmadığında makale stoğunu yenileyen betik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Mevcut sınırlar</w:t>
      </w:r>
    </w:p>
    <w:p>
      <w:r>
        <w:t>Bu rapor, çalışan ilk üç dönem hedefi ile onları destekleyen veri ve geri besleme altyapısına odaklanmaktadır. Belge segmentasyonu ve LLM tabanlı çıkarım süreci sonraki aşamanın konusudur.</w:t>
      </w:r>
    </w:p>
    <w:p>
      <w:r>
        <w:t>Annotator ekran görüntüsü bu raporda yer tutucu olarak bırakılmıştır. Nihai teslimden önce en güncel arayüz görüntüsü eklenmelidir.</w:t>
      </w:r>
    </w:p>
    <w:p>
      <w:r>
        <w:br w:type="page"/>
      </w:r>
    </w:p>
    <w:p>
      <w:pPr>
        <w:pStyle w:val="Heading1"/>
      </w:pPr>
      <w:r>
        <w:t>KAYNAKLAR</w:t>
      </w:r>
    </w:p>
    <w:p>
      <w:pPr>
        <w:pStyle w:val="ListNumber"/>
      </w:pPr>
      <w:r>
        <w:t>U.S. Department of Agriculture. *FoodData Central*. Erişim adresi: https://fdc.nal.usda.gov/ (Erişim tarihi: 02.04.2026).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Erişim adresi: https://pmc.ncbi.nlm.nih.gov/ (Erişim tarihi: 02.04.2026).</w:t>
      </w:r>
    </w:p>
    <w:p>
      <w:pPr>
        <w:pStyle w:val="ListNumber"/>
      </w:pPr>
      <w:r>
        <w:t>Europe PMC. *Europe PMC*. Erişim adresi: https://europepmc.org/ (Erişim tarihi: 02.04.2026).</w:t>
      </w:r>
    </w:p>
    <w:p>
      <w:pPr>
        <w:pStyle w:val="ListNumber"/>
      </w:pPr>
      <w:r>
        <w:t>DergiPark Akademik. *DergiPark Akademik*. Erişim adresi: https://dergipark.org.tr/ (Erişim tarihi: 02.04.2026).</w:t>
      </w:r>
    </w:p>
    <w:p>
      <w:pPr>
        <w:pStyle w:val="ListNumber"/>
      </w:pPr>
      <w:r>
        <w:t>Monarch RM. *Human-in-the-Loop Machine Learning*. Manning Publications; 2021.</w:t>
      </w:r>
    </w:p>
    <w:p>
      <w:pPr>
        <w:pStyle w:val="ListNumber"/>
      </w:pPr>
      <w:r>
        <w:t>Mozilla. *PDF.js*. Erişim adresi: https://mozilla.github.io/pdf.js/ (Erişim tarihi: 02.04.2026).</w:t>
      </w:r>
    </w:p>
    <w:p>
      <w:pPr>
        <w:pStyle w:val="ListNumber"/>
      </w:pPr>
      <w:r>
        <w:t>React. *React Documentation*. Erişim adresi: https://react.dev/ (Erişim tarihi: 02.04.2026).</w:t>
      </w:r>
    </w:p>
    <w:p>
      <w:pPr>
        <w:pStyle w:val="ListNumber"/>
      </w:pPr>
      <w:r>
        <w:t>Supabase. *Supabase Documentation*. Erişim adresi: https://supabase.com/docs (Erişim tarihi: 02.04.2026).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