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 xml:space="preserve">Arasınav itibarıyla OpenNutri'nin çalışan çekirdeği kurulmuştur. Crawler, Europe PMC, OpenAlex, Semantic Scholar ve DergiPark kaynaklarından metadata toplar; search gate ve metadata filter ile adayları eler; uygun PDF dosyalarını Supabase katmanına aktarır. Annotator arayüzü bu makaleleri PDF üzerinde açar, food ve nutrient girdilerini kaydeder, kullanıcı kararlarını </w:t>
      </w:r>
      <w:r>
        <w:rPr>
          <w:rFonts w:ascii="Courier New" w:hAnsi="Courier New" w:eastAsia="Courier New"/>
        </w:rPr>
        <w:t>paper_label_events</w:t>
      </w:r>
      <w:r>
        <w:t xml:space="preserve"> ve </w:t>
      </w:r>
      <w:r>
        <w:rPr>
          <w:rFonts w:ascii="Courier New" w:hAnsi="Courier New" w:eastAsia="Courier New"/>
        </w:rPr>
        <w:t>paper_global_labels</w:t>
      </w:r>
      <w:r>
        <w:t xml:space="preserve"> üzerinden geri beslemeye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daha belirgindir. Türkiye'de yayımlanan birçok çalışma DergiPark ve benzeri arşivlerde bulunur; ancak bu çalışmaların verileri uluslararası standart veri tabanlarına düzenli biçimde girmez. Sonuç olarak yerel ürünler, yerel çeşitler ve Türkçe yayınlar dijital görünürlük kaybeder.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 halinde modellenmiştir. Böylece kullanıcı arayüzündeki seçimler ve crawler terim üretimi aynı sözlüğe bağlanmıştır.</w:t>
      </w:r>
    </w:p>
    <w:p>
      <w:r>
        <w:t xml:space="preserve">FoodOn [3] gibi ontoloji tabanlı çalışmalar gıda adlarının standartlaştırılması açısından önemlidir. </w:t>
      </w:r>
      <w:r>
        <w:rPr>
          <w:rFonts w:ascii="Courier New" w:hAnsi="Courier New" w:eastAsia="Courier New"/>
        </w:rPr>
        <w:t>entities</w:t>
      </w:r>
      <w:r>
        <w:t xml:space="preserve"> ve </w:t>
      </w:r>
      <w:r>
        <w:rPr>
          <w:rFonts w:ascii="Courier New" w:hAnsi="Courier New" w:eastAsia="Courier New"/>
        </w:rPr>
        <w:t>entity_aliases</w:t>
      </w:r>
      <w:r>
        <w:t xml:space="preserve"> yapısı da aynı standardizasyon ihtiyacına göre seçilmiştir.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Human-in-the-loop yaklaşımı [7], bilimsel verilerin çıkarımı ve doğrulanmasında uzman kullanıcıyı sistemin aktif parçası olarak konumlandırır. OpenNutri'de bu yaklaşım annotator arayüzü ve </w:t>
      </w:r>
      <w:r>
        <w:rPr>
          <w:rFonts w:ascii="Courier New" w:hAnsi="Courier New" w:eastAsia="Courier New"/>
        </w:rPr>
        <w:t>paper_label_events</w:t>
      </w:r>
      <w:r>
        <w:t xml:space="preserve"> üzerinden uygulanmıştır.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doğrudan crawler geri beslemesine dönüşmektedir.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Nutrient highlight özelliği için PDF metin katmanındaki parçalanmış span yapısını tarayan ek mantık geliştirilmiştir.</w:t>
      </w:r>
    </w:p>
    <w:p>
      <w:pPr>
        <w:pStyle w:val="Heading2"/>
      </w:pPr>
      <w:r>
        <w:t>5. Kullanılan platform bileşenleri</w:t>
      </w:r>
    </w:p>
    <w:p>
      <w:r>
        <w:t>Supabase [10], kimlik doğrulama, satır düzeyi erişim kontrolü, dosya depolama ve istemci erişimini tek altyapıda birleştirdiği için seçilmiştir. Arasınav itibarıyla annotator ve veri boru hattı aynı backend katmanını paylaşmaktadır.</w:t>
      </w:r>
    </w:p>
    <w:p>
      <w:r>
        <w:t>Bu literatür ve platform incelemesi, projede ortak sözlük kullanımı, çok kaynaklı erişim, PDF üzerinde uzman anotasyonu ve insan-döngülü doğrulama yaklaşımının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event tabanlı geri besleme olarak saklamak. Aşağıdaki alt bölümler bu tercihlerin nasıl uygulandığını özetlemektedir.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 aktif veritabanı şemasını tanımlayan migration betiği temel alınarak hazırlanmış,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veritabanı migration betiği üzerinden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w:t>
      </w:r>
      <w:r>
        <w:rPr>
          <w:rFonts w:ascii="Courier New" w:hAnsi="Courier New" w:eastAsia="Courier New"/>
        </w:rPr>
        <w:t>food_item_count</w:t>
      </w:r>
      <w:r>
        <w:t xml:space="preserve"> değerini şişirmesini önlemek için geçerli food item'ların sayılması.</w:t>
      </w:r>
    </w:p>
    <w:p>
      <w:r>
        <w:t>Şekil 4,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png"/>
                    <pic:cNvPicPr/>
                  </pic:nvPicPr>
                  <pic:blipFill>
                    <a:blip r:embed="rId12"/>
                    <a:stretch>
                      <a:fillRect/>
                    </a:stretch>
                  </pic:blipFill>
                  <pic:spPr>
                    <a:xfrm>
                      <a:off x="0" y="0"/>
                      <a:ext cx="5669280" cy="3099168"/>
                    </a:xfrm>
                    <a:prstGeom prst="rect"/>
                  </pic:spPr>
                </pic:pic>
              </a:graphicData>
            </a:graphic>
          </wp:inline>
        </w:drawing>
      </w:r>
    </w:p>
    <w:p>
      <w:r>
        <w:t>Şekil 4. Temsili bir Türkçe canlı koşunun manifest özetinden türetilen aşama sayıları.</w:t>
      </w:r>
    </w:p>
    <w:p>
      <w:r>
        <w:t>Şekil 5, annotator ekran görüntüsü için yer tutucudur.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png"/>
                    <pic:cNvPicPr/>
                  </pic:nvPicPr>
                  <pic:blipFill>
                    <a:blip r:embed="rId13"/>
                    <a:stretch>
                      <a:fillRect/>
                    </a:stretch>
                  </pic:blipFill>
                  <pic:spPr>
                    <a:xfrm>
                      <a:off x="0" y="0"/>
                      <a:ext cx="5669280" cy="3130743"/>
                    </a:xfrm>
                    <a:prstGeom prst="rect"/>
                  </pic:spPr>
                </pic:pic>
              </a:graphicData>
            </a:graphic>
          </wp:inline>
        </w:drawing>
      </w:r>
    </w:p>
    <w:p>
      <w:r>
        <w:t xml:space="preserve">Şekil 5. Nihai teslimden önce bu görsel, çalışan annotator ekranının gerçek ekran görüntüsü ile değiştirilmelidir. En pratik yol, </w:t>
      </w:r>
      <w:r>
        <w:rPr>
          <w:rFonts w:ascii="Courier New" w:hAnsi="Courier New" w:eastAsia="Courier New"/>
        </w:rPr>
        <w:t>docs/defense/assets/figure_5_annotator_placeholder.png</w:t>
      </w:r>
      <w:r>
        <w:t xml:space="preserve"> dosyasını gerçek ekran görüntüsü ile aynı ad altında değiştirip export betiğini yeniden çalıştırmaktır.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Crawler tarafında iki yetenek belirleyicidir: İngilizce ve Türkçe literatür için ayrı hedef havuzların yönetilmesi ve geri beslemenin sorgu partileri düzeyinde de değerlendirilmesi.</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rPr>
          <w:rFonts w:ascii="Courier New" w:hAnsi="Courier New" w:eastAsia="Courier New"/>
        </w:rPr>
        <w:t>feedback/update_terms.py</w:t>
      </w:r>
      <w:r>
        <w:t xml:space="preserve"> betiği, kullanıcı olaylarından öğretici sinyaller üretir. Anlamlı veri kaydedilen makaleler olumlu örnek, açık biçimde veri içermeyen veya tekrarlı biçimde atlanan makaleler olumsuz örnek olarak değerlendirilir. Çelişkili durumlar öğrenme dışında bırakılır.</w:t>
      </w:r>
    </w:p>
    <w:p>
      <w:r>
        <w:t>Kullanıcı kararı, sonraki crawler koşularında kullanılan yumuşak puanlama sinyalidir.</w:t>
      </w:r>
    </w:p>
    <w:p>
      <w:r>
        <w:t xml:space="preserve">Son kullanıcıya yeterli makale kalmadığında </w:t>
      </w:r>
      <w:r>
        <w:rPr>
          <w:rFonts w:ascii="Courier New" w:hAnsi="Courier New" w:eastAsia="Courier New"/>
        </w:rPr>
        <w:t>ensure_paper_stock.py</w:t>
      </w:r>
      <w:r>
        <w:t xml:space="preserve">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Bu rapor, çalışan ilk üç dönem hedefi ile onları destekleyen veri ve geri besleme altyapısına odaklanmaktadır. Belge segmentasyonu ve LLM tabanlı çıkarım süreci sonraki aşamanın konusudur.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