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 xml:space="preserve">Comparación de Hill Climbing, sus variantes y Recocido Simulado en la función esfera</w:t>
      </w:r>
    </w:p>
    <w:p>
      <w:pPr>
        <w:pStyle w:val="author"/>
      </w:pPr>
      <w:r>
        <w:t xml:space="preserve">Angel Gabriel Aguilar Hernandez</w:t>
      </w:r>
    </w:p>
    <w:p>
      <w:pPr>
        <w:pStyle w:val="address"/>
      </w:pPr>
      <w:r>
        <w:t xml:space="preserve">Licenciatura en Ingeniería de Software, Universidad Veracruzana, México</w:t>
      </w:r>
      <w:r>
        <w:br/>
      </w:r>
      <w:r>
        <w:rPr>
          <w:rStyle w:val="e-mail"/>
        </w:rPr>
        <w:t xml:space="preserve">zs24013324@estudiantes.uv.mx</w:t>
      </w:r>
    </w:p>
    <w:p>
      <w:pPr>
        <w:pStyle w:val="abstract"/>
        <w:spacing w:after="0"/>
        <w:ind w:firstLine="0"/>
      </w:pPr>
      <w:r>
        <w:rPr>
          <w:b/>
          <w:bCs/>
        </w:rPr>
        <w:t xml:space="preserve">Resumen. </w:t>
      </w:r>
      <w:r>
        <w:t xml:space="preserve">Se comparan cuatro algoritmos de búsqueda local, Hill Climbing (HC), Hill Climbing Steepest Ascent (SAHC), Steepest Ascent with Replacement (SAHC-R) y Recocido Simulado (SA), en la minimización de la función esfera con 10, 30, 50 y 100 dimensiones. Los parámetros de cada algoritmo se configuraron por dimensión mediante una búsqueda en rejilla con ejecuciones piloto y, con la configuración elegida, se hicieron 30 ejecuciones independientes con un presupuesto de 10,000·</w:t>
      </w:r>
      <w:r>
        <w:rPr>
          <w:i/>
          <w:iCs/>
        </w:rPr>
        <w:t xml:space="preserve">D</w:t>
      </w:r>
      <w:r>
        <w:t xml:space="preserve"> evaluaciones y un umbral de éxito </w:t>
      </w:r>
      <w:r>
        <w:rPr>
          <w:i/>
          <w:iCs/>
        </w:rPr>
        <w:t xml:space="preserve">f</w:t>
      </w:r>
      <w:r>
        <w:t xml:space="preserve">(</w:t>
      </w:r>
      <w:r>
        <w:rPr>
          <w:b/>
          <w:bCs/>
        </w:rPr>
        <w:t xml:space="preserve">x</w:t>
      </w:r>
      <w:r>
        <w:t xml:space="preserve">) ≤ 10</w:t>
      </w:r>
      <w:r>
        <w:rPr>
          <w:vertAlign w:val="superscript"/>
        </w:rPr>
        <w:t xml:space="preserve">−8</w:t>
      </w:r>
      <w:r>
        <w:t xml:space="preserve">. HC y SAHC alcanzaron el umbral en todas las ejecuciones; SA lo logró en 30 de 30 con </w:t>
      </w:r>
      <w:r>
        <w:rPr>
          <w:i/>
          <w:iCs/>
        </w:rPr>
        <w:t xml:space="preserve">D</w:t>
      </w:r>
      <w:r>
        <w:t xml:space="preserve"> = 10 y 15 de 30 con </w:t>
      </w:r>
      <w:r>
        <w:rPr>
          <w:i/>
          <w:iCs/>
        </w:rPr>
        <w:t xml:space="preserve">D</w:t>
      </w:r>
      <w:r>
        <w:t xml:space="preserve"> = 30, y SAHC-R sólo en 9 de 30 con </w:t>
      </w:r>
      <w:r>
        <w:rPr>
          <w:i/>
          <w:iCs/>
        </w:rPr>
        <w:t xml:space="preserve">D</w:t>
      </w:r>
      <w:r>
        <w:t xml:space="preserve"> = 10. HC fue el más rápido y el que menos evaluaciones usó hasta </w:t>
      </w:r>
      <w:r>
        <w:rPr>
          <w:i/>
          <w:iCs/>
        </w:rPr>
        <w:t xml:space="preserve">D</w:t>
      </w:r>
      <w:r>
        <w:t xml:space="preserve"> = 50; SAHC usó menos evaluaciones con </w:t>
      </w:r>
      <w:r>
        <w:rPr>
          <w:i/>
          <w:iCs/>
        </w:rPr>
        <w:t xml:space="preserve">D</w:t>
      </w:r>
      <w:r>
        <w:t xml:space="preserve"> = 100 y fue el más estable, con 100 % de éxito y la menor dispersión del esfuerzo en la mayoría de las dimensiones. En un problema unimodal, la capacidad de SA y SAHC-R para aceptar soluciones peores sólo consume evaluaciones.</w:t>
      </w:r>
    </w:p>
    <w:p>
      <w:pPr>
        <w:pStyle w:val="keywords"/>
      </w:pPr>
      <w:r>
        <w:rPr>
          <w:b/>
          <w:bCs/>
        </w:rPr>
        <w:t xml:space="preserve">Palabras clave:</w:t>
      </w:r>
      <w:r>
        <w:t xml:space="preserve"> Búsqueda local · Hill Climbing · Recocido simulado · Función esfera · Configuración de parámetros.</w:t>
      </w:r>
    </w:p>
    <w:p>
      <w:pPr>
        <w:pStyle w:val="heading1"/>
      </w:pPr>
      <w:r>
        <w:t xml:space="preserve">Introducción</w:t>
      </w:r>
    </w:p>
    <w:p>
      <w:pPr>
        <w:pStyle w:val="p1a"/>
      </w:pPr>
      <w:r>
        <w:t xml:space="preserve">Los algoritmos de búsqueda local mejoran una sola solución candidata modificándola poco a poco: en cada iteración generan uno o varios vecinos con un operador de perturbación (</w:t>
      </w:r>
      <w:r>
        <w:rPr>
          <w:i/>
          <w:iCs/>
        </w:rPr>
        <w:t xml:space="preserve">Tweak</w:t>
      </w:r>
      <w:r>
        <w:t xml:space="preserve">) y deciden, con una regla de aceptación, cuál sustituye a la solución actual [1, 4]. Hill Climbing y el Recocido Simulado comparten ese esqueleto y difieren en dos decisiones: cuántos vecinos se examinan por iteración y si se permite pasar a una solución peor.</w:t>
      </w:r>
    </w:p>
    <w:p>
      <w:r>
        <w:t xml:space="preserve">Este trabajo compara cuatro de estos algoritmos tal como los presenta Luke [1]: Hill Climbing (HC), Hill Climbing Steepest Ascent (SAHC), Hill Climbing Steepest Ascent with Replacement (SAHC-R) y Simulated Annealing o Recocido Simulado (SA) [2]. Los cuatro se aplican a la minimización de la función esfera con 10, 30, 50 y 100 dimensiones. Para cada algoritmo y dimensión se configuran los parámetros, se hacen 30 ejecuciones independientes y se reportan el mejor, el peor, la media, la mediana y la desviación estándar del valor final de la función objetivo, junto con el tiempo de ejecución y el número de evaluaciones. Con esos resultados se identifica el algoritmo más estable y se discuten las ventajas y desventajas de cada implementación.</w:t>
      </w:r>
    </w:p>
    <w:p>
      <w:pPr>
        <w:pStyle w:val="heading1"/>
      </w:pPr>
      <w:r>
        <w:t xml:space="preserve">Problema y algoritmos</w:t>
      </w:r>
    </w:p>
    <w:p>
      <w:pPr>
        <w:pStyle w:val="heading2"/>
      </w:pPr>
      <w:r>
        <w:t xml:space="preserve">Función esfera</w:t>
      </w:r>
    </w:p>
    <w:p>
      <w:pPr>
        <w:pStyle w:val="p1a"/>
        <w:keepNext/>
      </w:pPr>
      <w:r>
        <w:t xml:space="preserve">La función esfera se define como</w:t>
      </w:r>
    </w:p>
    <w:p>
      <w:pPr>
        <w:pStyle w:val="equation"/>
        <w:tabs>
          <w:tab w:val="clear" w:pos="3289"/>
          <w:tab w:val="clear" w:pos="6917"/>
          <w:tab w:val="center" w:pos="4252"/>
          <w:tab w:val="right" w:pos="8504"/>
        </w:tabs>
      </w:pPr>
      <w:r>
        <w:tab/>
      </w:r>
      <m:oMath>
        <m:r>
          <w:rPr>
            <w:rFonts w:ascii="Cambria Math" w:hAnsi="Cambria Math"/>
          </w:rPr>
          <m:t xml:space="preserve">f</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m:t>
        </m:r>
        <m:nary>
          <m:naryPr>
            <m:chr m:val="∑"/>
            <m:limLoc m:val="undOvr"/>
          </m:naryPr>
          <m:sub>
            <m:r>
              <w:rPr>
                <w:rFonts w:ascii="Cambria Math" w:hAnsi="Cambria Math"/>
              </w:rPr>
              <m:t xml:space="preserve">i=1</m:t>
            </m:r>
          </m:sub>
          <m:sup>
            <m:r>
              <w:rPr>
                <w:rFonts w:ascii="Cambria Math" w:hAnsi="Cambria Math"/>
              </w:rPr>
              <m:t xml:space="preserve">D</m:t>
            </m:r>
          </m:sup>
          <m:e>
            <m:sSubSup>
              <m:e>
                <m:r>
                  <w:rPr>
                    <w:rFonts w:ascii="Cambria Math" w:hAnsi="Cambria Math"/>
                  </w:rPr>
                  <m:t xml:space="preserve">x</m:t>
                </m:r>
              </m:e>
              <m:sub>
                <m:r>
                  <w:rPr>
                    <w:rFonts w:ascii="Cambria Math" w:hAnsi="Cambria Math"/>
                  </w:rPr>
                  <m:t xml:space="preserve">i</m:t>
                </m:r>
              </m:sub>
              <m:sup>
                <m:r>
                  <w:rPr>
                    <w:rFonts w:ascii="Cambria Math" w:hAnsi="Cambria Math"/>
                  </w:rPr>
                  <m:t xml:space="preserve">2</m:t>
                </m:r>
              </m:sup>
            </m:sSubSup>
          </m:e>
        </m:nary>
        <m:r>
          <w:rPr>
            <w:rFonts w:ascii="Cambria Math" w:hAnsi="Cambria Math"/>
          </w:rPr>
          <m:t xml:space="preserve">,  </m:t>
        </m:r>
        <m:r>
          <w:rPr>
            <w:rFonts w:ascii="Cambria Math" w:hAnsi="Cambria Math"/>
          </w:rPr>
          <m:t xml:space="preserve">x</m:t>
        </m:r>
        <m:r>
          <w:rPr>
            <w:rFonts w:ascii="Cambria Math" w:hAnsi="Cambria Math"/>
          </w:rPr>
          <m:t xml:space="preserve">∈</m:t>
        </m:r>
        <m:sSup>
          <m:e>
            <m:r>
              <m:rPr>
                <m:sty m:val="p"/>
              </m:rPr>
              <w:rPr>
                <w:rFonts w:ascii="Cambria Math" w:hAnsi="Cambria Math"/>
              </w:rPr>
              <m:t xml:space="preserve">[</m:t>
            </m:r>
            <m:r>
              <w:rPr>
                <w:rFonts w:ascii="Cambria Math" w:hAnsi="Cambria Math"/>
              </w:rPr>
              <m:t xml:space="preserve">−10, 10</m:t>
            </m:r>
            <m:r>
              <m:rPr>
                <m:sty m:val="p"/>
              </m:rPr>
              <w:rPr>
                <w:rFonts w:ascii="Cambria Math" w:hAnsi="Cambria Math"/>
              </w:rPr>
              <m:t xml:space="preserve">]</m:t>
            </m:r>
          </m:e>
          <m:sup>
            <m:r>
              <w:rPr>
                <w:rFonts w:ascii="Cambria Math" w:hAnsi="Cambria Math"/>
              </w:rPr>
              <m:t xml:space="preserve">D</m:t>
            </m:r>
          </m:sup>
        </m:sSup>
      </m:oMath>
      <w:r>
        <w:tab/>
        <w:t>(</w:t>
      </w:r>
      <w:r>
        <w:t xml:space="preserve">1</w:t>
      </w:r>
      <w:r>
        <w:t>)</w:t>
      </w:r>
    </w:p>
    <w:p>
      <w:pPr>
        <w:pStyle w:val="p1a"/>
      </w:pPr>
      <w:r>
        <w:t xml:space="preserve">donde </w:t>
      </w:r>
      <w:r>
        <w:rPr>
          <w:i/>
          <w:iCs/>
        </w:rPr>
        <w:t xml:space="preserve">D</w:t>
      </w:r>
      <w:r>
        <w:t xml:space="preserve"> es el número de dimensiones. Su mínimo global es </w:t>
      </w:r>
      <w:r>
        <w:rPr>
          <w:i/>
          <w:iCs/>
        </w:rPr>
        <w:t xml:space="preserve">f</w:t>
      </w:r>
      <w:r>
        <w:t xml:space="preserve">(</w:t>
      </w:r>
      <w:r>
        <w:rPr>
          <w:b/>
          <w:bCs/>
        </w:rPr>
        <w:t xml:space="preserve">0</w:t>
      </w:r>
      <w:r>
        <w:t xml:space="preserve">) = 0. Es continua, convexa, separable y unimodal, de modo que no tiene óptimos locales que atrapen a la búsqueda: mide la capacidad de </w:t>
      </w:r>
      <w:r>
        <w:rPr>
          <w:i/>
          <w:iCs/>
        </w:rPr>
        <w:t xml:space="preserve">explotación</w:t>
      </w:r>
      <w:r>
        <w:t xml:space="preserve"> de un algoritmo, es decir, qué tan rápido y con qué precisión se acerca al óptimo. Como los pseudocódigos de [1] maximizan una calidad, aquí se usa calidad = −</w:t>
      </w:r>
      <w:r>
        <w:rPr>
          <w:i/>
          <w:iCs/>
        </w:rPr>
        <w:t xml:space="preserve">f</w:t>
      </w:r>
      <w:r>
        <w:t xml:space="preserve">.</w:t>
      </w:r>
    </w:p>
    <w:p>
      <w:pPr>
        <w:pStyle w:val="heading2"/>
      </w:pPr>
      <w:r>
        <w:t xml:space="preserve">Operador de perturbación</w:t>
      </w:r>
    </w:p>
    <w:p>
      <w:pPr>
        <w:pStyle w:val="p1a"/>
      </w:pPr>
      <w:r>
        <w:t xml:space="preserve">Los cuatro algoritmos usan el mismo operador, la convolución uniforme acotada (Algoritmo 8 en [1]). Cada componente </w:t>
      </w:r>
      <w:r>
        <w:rPr>
          <w:i/>
          <w:iCs/>
        </w:rPr>
        <w:t xml:space="preserve">x</w:t>
      </w:r>
      <w:r>
        <w:rPr>
          <w:i/>
          <w:iCs/>
          <w:vertAlign w:val="subscript"/>
        </w:rPr>
        <w:t xml:space="preserve">i</w:t>
      </w:r>
      <w:r>
        <w:t xml:space="preserve"> se modifica con probabilidad </w:t>
      </w:r>
      <w:r>
        <w:rPr>
          <w:i/>
          <w:iCs/>
        </w:rPr>
        <w:t xml:space="preserve">p</w:t>
      </w:r>
      <w:r>
        <w:t xml:space="preserve"> sumándole un ruido uniforme en [−</w:t>
      </w:r>
      <w:r>
        <w:rPr>
          <w:i/>
          <w:iCs/>
        </w:rPr>
        <w:t xml:space="preserve">r</w:t>
      </w:r>
      <w:r>
        <w:t xml:space="preserve">, </w:t>
      </w:r>
      <w:r>
        <w:rPr>
          <w:i/>
          <w:iCs/>
        </w:rPr>
        <w:t xml:space="preserve">r</w:t>
      </w:r>
      <w:r>
        <w:t xml:space="preserve">]; si el resultado sale del dominio, el ruido se vuelve a muestrear. La probabilidad se expresa como </w:t>
      </w:r>
      <w:r>
        <w:rPr>
          <w:i/>
          <w:iCs/>
        </w:rPr>
        <w:t xml:space="preserve">p</w:t>
      </w:r>
      <w:r>
        <w:t xml:space="preserve"> = </w:t>
      </w:r>
      <w:r>
        <w:rPr>
          <w:i/>
          <w:iCs/>
        </w:rPr>
        <w:t xml:space="preserve">k</w:t>
      </w:r>
      <w:r>
        <w:t xml:space="preserve">/</w:t>
      </w:r>
      <w:r>
        <w:rPr>
          <w:i/>
          <w:iCs/>
        </w:rPr>
        <w:t xml:space="preserve">D</w:t>
      </w:r>
      <w:r>
        <w:t xml:space="preserve">, donde </w:t>
      </w:r>
      <w:r>
        <w:rPr>
          <w:i/>
          <w:iCs/>
        </w:rPr>
        <w:t xml:space="preserve">k</w:t>
      </w:r>
      <w:r>
        <w:t xml:space="preserve"> es el número esperado de componentes modificadas, para que un mismo </w:t>
      </w:r>
      <w:r>
        <w:rPr>
          <w:i/>
          <w:iCs/>
        </w:rPr>
        <w:t xml:space="preserve">k</w:t>
      </w:r>
      <w:r>
        <w:t xml:space="preserve"> produzca perturbaciones de tamaño comparable en cualquier dimensión. La solución inicial se genera de manera uniforme en el dominio.</w:t>
      </w:r>
    </w:p>
    <w:p>
      <w:pPr>
        <w:pStyle w:val="heading2"/>
      </w:pPr>
      <w:r>
        <w:t xml:space="preserve">Algoritmos comparados</w:t>
      </w:r>
    </w:p>
    <w:p>
      <w:pPr>
        <w:pStyle w:val="p1a"/>
        <w:spacing w:before="120"/>
      </w:pPr>
      <w:r>
        <w:rPr>
          <w:b/>
          <w:bCs/>
        </w:rPr>
        <w:t xml:space="preserve">Hill Climbing (HC).</w:t>
      </w:r>
      <w:r>
        <w:t xml:space="preserve"> </w:t>
      </w:r>
      <w:r>
        <w:t xml:space="preserve">Algoritmo 4 de [1]. En cada iteración genera un vecino </w:t>
      </w:r>
      <w:r>
        <w:rPr>
          <w:i/>
          <w:iCs/>
        </w:rPr>
        <w:t xml:space="preserve">R</w:t>
      </w:r>
      <w:r>
        <w:t xml:space="preserve"> de la solución actual </w:t>
      </w:r>
      <w:r>
        <w:rPr>
          <w:i/>
          <w:iCs/>
        </w:rPr>
        <w:t xml:space="preserve">S</w:t>
      </w:r>
      <w:r>
        <w:t xml:space="preserve"> y lo acepta sólo si es estrictamente mejor. Usa una evaluación por iteración.</w:t>
      </w:r>
    </w:p>
    <w:p>
      <w:pPr>
        <w:pStyle w:val="p1a"/>
        <w:spacing w:before="120"/>
      </w:pPr>
      <w:r>
        <w:rPr>
          <w:b/>
          <w:bCs/>
        </w:rPr>
        <w:t xml:space="preserve">Steepest Ascent (SAHC).</w:t>
      </w:r>
      <w:r>
        <w:t xml:space="preserve"> </w:t>
      </w:r>
      <w:r>
        <w:t xml:space="preserve">Algoritmo 5 de [1]. Genera </w:t>
      </w:r>
      <w:r>
        <w:rPr>
          <w:i/>
          <w:iCs/>
        </w:rPr>
        <w:t xml:space="preserve">n</w:t>
      </w:r>
      <w:r>
        <w:t xml:space="preserve"> vecinos de </w:t>
      </w:r>
      <w:r>
        <w:rPr>
          <w:i/>
          <w:iCs/>
        </w:rPr>
        <w:t xml:space="preserve">S</w:t>
      </w:r>
      <w:r>
        <w:t xml:space="preserve">, toma el mejor y lo acepta sólo si mejora a </w:t>
      </w:r>
      <w:r>
        <w:rPr>
          <w:i/>
          <w:iCs/>
        </w:rPr>
        <w:t xml:space="preserve">S</w:t>
      </w:r>
      <w:r>
        <w:t xml:space="preserve">. Muestrear </w:t>
      </w:r>
      <w:r>
        <w:rPr>
          <w:i/>
          <w:iCs/>
        </w:rPr>
        <w:t xml:space="preserve">n</w:t>
      </w:r>
      <w:r>
        <w:t xml:space="preserve"> vecinos aproxima la dirección de mayor descenso a cambio de </w:t>
      </w:r>
      <w:r>
        <w:rPr>
          <w:i/>
          <w:iCs/>
        </w:rPr>
        <w:t xml:space="preserve">n</w:t>
      </w:r>
      <w:r>
        <w:t xml:space="preserve"> evaluaciones por iteración.</w:t>
      </w:r>
    </w:p>
    <w:p>
      <w:pPr>
        <w:pStyle w:val="p1a"/>
        <w:spacing w:before="120"/>
      </w:pPr>
      <w:r>
        <w:rPr>
          <w:b/>
          <w:bCs/>
        </w:rPr>
        <w:t xml:space="preserve">Steepest Ascent with Replacement (SAHC-R).</w:t>
      </w:r>
      <w:r>
        <w:t xml:space="preserve"> </w:t>
      </w:r>
      <w:r>
        <w:t xml:space="preserve">Algoritmo 6 de [1]. Igual que SAHC, pero </w:t>
      </w:r>
      <w:r>
        <w:rPr>
          <w:i/>
          <w:iCs/>
        </w:rPr>
        <w:t xml:space="preserve">S</w:t>
      </w:r>
      <w:r>
        <w:t xml:space="preserve"> se reemplaza siempre por el mejor de los </w:t>
      </w:r>
      <w:r>
        <w:rPr>
          <w:i/>
          <w:iCs/>
        </w:rPr>
        <w:t xml:space="preserve">n</w:t>
      </w:r>
      <w:r>
        <w:t xml:space="preserve"> vecinos, aunque sea peor; la mejor solución encontrada se guarda aparte (</w:t>
      </w:r>
      <w:r>
        <w:rPr>
          <w:i/>
          <w:iCs/>
        </w:rPr>
        <w:t xml:space="preserve">Best</w:t>
      </w:r>
      <w:r>
        <w:t xml:space="preserve">). Así puede abandonar un óptimo local, pero también alejarse del óptimo global.</w:t>
      </w:r>
    </w:p>
    <w:p>
      <w:pPr>
        <w:pStyle w:val="p1a"/>
        <w:keepNext/>
        <w:spacing w:before="120"/>
      </w:pPr>
      <w:r>
        <w:rPr>
          <w:b/>
          <w:bCs/>
        </w:rPr>
        <w:t xml:space="preserve">Simulated Annealing (SA).</w:t>
      </w:r>
      <w:r>
        <w:t xml:space="preserve"> </w:t>
      </w:r>
      <w:r>
        <w:t xml:space="preserve">Algoritmo 13 de [1], propuesto por Kirkpatrick et al. [2]. Genera un vecino por iteración y lo acepta siempre que mejora; si empeora, lo acepta con probabilidad</w:t>
      </w:r>
    </w:p>
    <w:p>
      <w:pPr>
        <w:pStyle w:val="equation"/>
        <w:tabs>
          <w:tab w:val="clear" w:pos="3289"/>
          <w:tab w:val="clear" w:pos="6917"/>
          <w:tab w:val="center" w:pos="4252"/>
          <w:tab w:val="right" w:pos="8504"/>
        </w:tabs>
      </w:pPr>
      <w:r>
        <w:tab/>
      </w:r>
      <m:oMath>
        <m:r>
          <w:rPr>
            <w:rFonts w:ascii="Cambria Math" w:hAnsi="Cambria Math"/>
          </w:rPr>
          <m:t xml:space="preserve">P</m:t>
        </m:r>
        <m:r>
          <m:rPr>
            <m:sty m:val="p"/>
          </m:rPr>
          <w:rPr>
            <w:rFonts w:ascii="Cambria Math" w:hAnsi="Cambria Math"/>
          </w:rPr>
          <m:t xml:space="preserve">(</m:t>
        </m:r>
        <m:r>
          <m:rPr>
            <m:nor/>
          </m:rPr>
          <w:rPr>
            <w:rFonts w:ascii="Cambria Math" w:hAnsi="Cambria Math"/>
          </w:rPr>
          <m:t xml:space="preserve">aceptar </m:t>
        </m:r>
        <m:r>
          <w:rPr>
            <w:rFonts w:ascii="Cambria Math" w:hAnsi="Cambria Math"/>
          </w:rPr>
          <m:t xml:space="preserve">R</m:t>
        </m:r>
        <m:r>
          <m:rPr>
            <m:sty m:val="p"/>
          </m:rPr>
          <w:rPr>
            <w:rFonts w:ascii="Cambria Math" w:hAnsi="Cambria Math"/>
          </w:rPr>
          <m:t xml:space="preserve">)</m:t>
        </m:r>
        <m:r>
          <w:rPr>
            <w:rFonts w:ascii="Cambria Math" w:hAnsi="Cambria Math"/>
          </w:rPr>
          <m:t xml:space="preserve">=</m:t>
        </m:r>
        <m:sSup>
          <m:e>
            <m:r>
              <m:rPr>
                <m:sty m:val="p"/>
              </m:rPr>
              <w:rPr>
                <w:rFonts w:ascii="Cambria Math" w:hAnsi="Cambria Math"/>
              </w:rPr>
              <m:t xml:space="preserve">e</m:t>
            </m:r>
          </m:e>
          <m:sup>
            <m:f>
              <m:num>
                <m:r>
                  <w:rPr>
                    <w:rFonts w:ascii="Cambria Math" w:hAnsi="Cambria Math"/>
                  </w:rPr>
                  <m:t xml:space="preserve">f</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num>
              <m:den>
                <m:r>
                  <w:rPr>
                    <w:rFonts w:ascii="Cambria Math" w:hAnsi="Cambria Math"/>
                  </w:rPr>
                  <m:t xml:space="preserve">T</m:t>
                </m:r>
              </m:den>
            </m:f>
          </m:sup>
        </m:sSup>
      </m:oMath>
      <w:r>
        <w:tab/>
        <w:t>(</w:t>
      </w:r>
      <w:r>
        <w:t xml:space="preserve">2</w:t>
      </w:r>
      <w:r>
        <w:t>)</w:t>
      </w:r>
    </w:p>
    <w:p>
      <w:pPr>
        <w:pStyle w:val="p1a"/>
        <w:keepNext/>
      </w:pPr>
      <w:r>
        <w:t xml:space="preserve">donde </w:t>
      </w:r>
      <w:r>
        <w:rPr>
          <w:i/>
          <w:iCs/>
        </w:rPr>
        <w:t xml:space="preserve">T</w:t>
      </w:r>
      <w:r>
        <w:t xml:space="preserve"> es la temperatura. </w:t>
      </w:r>
      <w:r>
        <w:rPr>
          <w:i/>
          <w:iCs/>
        </w:rPr>
        <w:t xml:space="preserve">T</w:t>
      </w:r>
      <w:r>
        <w:t xml:space="preserve"> parte de </w:t>
      </w:r>
      <w:r>
        <w:rPr>
          <w:i/>
          <w:iCs/>
        </w:rPr>
        <w:t xml:space="preserve">T</w:t>
      </w:r>
      <w:r>
        <w:rPr>
          <w:vertAlign w:val="subscript"/>
        </w:rPr>
        <w:t xml:space="preserve">0</w:t>
      </w:r>
      <w:r>
        <w:t xml:space="preserve"> y se enfría geométricamente después de cada evaluación, de modo que llega a </w:t>
      </w:r>
      <w:r>
        <w:rPr>
          <w:i/>
          <w:iCs/>
        </w:rPr>
        <w:t xml:space="preserve">T</w:t>
      </w:r>
      <w:r>
        <w:rPr>
          <w:i/>
          <w:iCs/>
          <w:vertAlign w:val="subscript"/>
        </w:rPr>
        <w:t xml:space="preserve">f</w:t>
      </w:r>
      <w:r>
        <w:t xml:space="preserve"> = 10</w:t>
      </w:r>
      <w:r>
        <w:rPr>
          <w:vertAlign w:val="superscript"/>
        </w:rPr>
        <w:t xml:space="preserve">−10</w:t>
      </w:r>
      <w:r>
        <w:t xml:space="preserve"> justo cuando se agota el presupuesto de </w:t>
      </w:r>
      <w:r>
        <w:rPr>
          <w:i/>
          <w:iCs/>
        </w:rPr>
        <w:t xml:space="preserve">B</w:t>
      </w:r>
      <w:r>
        <w:t xml:space="preserve"> evaluaciones:</w:t>
      </w:r>
    </w:p>
    <w:p>
      <w:pPr>
        <w:pStyle w:val="equation"/>
        <w:tabs>
          <w:tab w:val="clear" w:pos="3289"/>
          <w:tab w:val="clear" w:pos="6917"/>
          <w:tab w:val="center" w:pos="4252"/>
          <w:tab w:val="right" w:pos="8504"/>
        </w:tabs>
      </w:pPr>
      <w:r>
        <w:tab/>
      </w:r>
      <m:oMath>
        <m:sSub>
          <m:e>
            <m:r>
              <w:rPr>
                <w:rFonts w:ascii="Cambria Math" w:hAnsi="Cambria Math"/>
              </w:rPr>
              <m:t xml:space="preserve">T</m:t>
            </m:r>
          </m:e>
          <m:sub>
            <m:r>
              <w:rPr>
                <w:rFonts w:ascii="Cambria Math" w:hAnsi="Cambria Math"/>
              </w:rPr>
              <m:t xml:space="preserve">t+1</m:t>
            </m:r>
          </m:sub>
        </m:sSub>
        <m:r>
          <w:rPr>
            <w:rFonts w:ascii="Cambria Math" w:hAnsi="Cambria Math"/>
          </w:rPr>
          <m:t xml:space="preserve">=</m:t>
        </m:r>
        <m:r>
          <w:rPr>
            <w:rFonts w:ascii="Cambria Math" w:hAnsi="Cambria Math"/>
          </w:rPr>
          <m:t xml:space="preserve">α</m:t>
        </m:r>
        <m:sSub>
          <m:e>
            <m:r>
              <w:rPr>
                <w:rFonts w:ascii="Cambria Math" w:hAnsi="Cambria Math"/>
              </w:rPr>
              <m:t xml:space="preserve">T</m:t>
            </m:r>
          </m:e>
          <m:sub>
            <m:r>
              <w:rPr>
                <w:rFonts w:ascii="Cambria Math" w:hAnsi="Cambria Math"/>
              </w:rPr>
              <m:t xml:space="preserve">t</m:t>
            </m:r>
          </m:sub>
        </m:sSub>
        <m:r>
          <w:rPr>
            <w:rFonts w:ascii="Cambria Math" w:hAnsi="Cambria Math"/>
          </w:rPr>
          <m:t xml:space="preserve">,   </m:t>
        </m:r>
        <m:r>
          <w:rPr>
            <w:rFonts w:ascii="Cambria Math" w:hAnsi="Cambria Math"/>
          </w:rPr>
          <m:t xml:space="preserve">α</m:t>
        </m:r>
        <m:r>
          <w:rPr>
            <w:rFonts w:ascii="Cambria Math" w:hAnsi="Cambria Math"/>
          </w:rPr>
          <m:t xml:space="preserve">=</m:t>
        </m:r>
        <m:sSup>
          <m:e>
            <m:d>
              <m:e>
                <m:f>
                  <m:num>
                    <m:sSub>
                      <m:e>
                        <m:r>
                          <w:rPr>
                            <w:rFonts w:ascii="Cambria Math" w:hAnsi="Cambria Math"/>
                          </w:rPr>
                          <m:t xml:space="preserve">T</m:t>
                        </m:r>
                      </m:e>
                      <m:sub>
                        <m:r>
                          <w:rPr>
                            <w:rFonts w:ascii="Cambria Math" w:hAnsi="Cambria Math"/>
                          </w:rPr>
                          <m:t xml:space="preserve">f</m:t>
                        </m:r>
                      </m:sub>
                    </m:sSub>
                  </m:num>
                  <m:den>
                    <m:sSub>
                      <m:e>
                        <m:r>
                          <w:rPr>
                            <w:rFonts w:ascii="Cambria Math" w:hAnsi="Cambria Math"/>
                          </w:rPr>
                          <m:t xml:space="preserve">T</m:t>
                        </m:r>
                      </m:e>
                      <m:sub>
                        <m:r>
                          <w:rPr>
                            <w:rFonts w:ascii="Cambria Math" w:hAnsi="Cambria Math"/>
                          </w:rPr>
                          <m:t xml:space="preserve">0</m:t>
                        </m:r>
                      </m:sub>
                    </m:sSub>
                  </m:den>
                </m:f>
              </m:e>
            </m:d>
          </m:e>
          <m:sup>
            <m:f>
              <m:num>
                <m:r>
                  <w:rPr>
                    <w:rFonts w:ascii="Cambria Math" w:hAnsi="Cambria Math"/>
                  </w:rPr>
                  <m:t xml:space="preserve">1</m:t>
                </m:r>
              </m:num>
              <m:den>
                <m:r>
                  <w:rPr>
                    <w:rFonts w:ascii="Cambria Math" w:hAnsi="Cambria Math"/>
                  </w:rPr>
                  <m:t xml:space="preserve">B−1</m:t>
                </m:r>
              </m:den>
            </m:f>
          </m:sup>
        </m:sSup>
      </m:oMath>
      <w:r>
        <w:tab/>
        <w:t>(</w:t>
      </w:r>
      <w:r>
        <w:t xml:space="preserve">3</w:t>
      </w:r>
      <w:r>
        <w:t>)</w:t>
      </w:r>
    </w:p>
    <w:p>
      <w:pPr>
        <w:pStyle w:val="p1a"/>
      </w:pPr>
      <w:r>
        <w:t xml:space="preserve">Al igual que SAHC-R, conserva la mejor solución encontrada.</w:t>
      </w:r>
    </w:p>
    <w:p>
      <w:pPr>
        <w:pStyle w:val="heading1"/>
      </w:pPr>
      <w:r>
        <w:t xml:space="preserve">Diseño experimental</w:t>
      </w:r>
    </w:p>
    <w:p>
      <w:pPr>
        <w:pStyle w:val="heading2"/>
      </w:pPr>
      <w:r>
        <w:t xml:space="preserve">Presupuesto, criterio de paro y semillas</w:t>
      </w:r>
    </w:p>
    <w:p>
      <w:pPr>
        <w:pStyle w:val="p1a"/>
      </w:pPr>
      <w:r>
        <w:t xml:space="preserve">Se adoptó el criterio de la sesión especial de optimización con parámetros reales del CEC 2005 [3]: cada ejecución dispone de un máximo de </w:t>
      </w:r>
      <w:r>
        <w:rPr>
          <w:i/>
          <w:iCs/>
        </w:rPr>
        <w:t xml:space="preserve">B</w:t>
      </w:r>
      <w:r>
        <w:t xml:space="preserve"> = 10,000·</w:t>
      </w:r>
      <w:r>
        <w:rPr>
          <w:i/>
          <w:iCs/>
        </w:rPr>
        <w:t xml:space="preserve">D</w:t>
      </w:r>
      <w:r>
        <w:t xml:space="preserve"> evaluaciones de la función objetivo (100,000, 300,000, 500,000 y 1,000,000 para </w:t>
      </w:r>
      <w:r>
        <w:rPr>
          <w:i/>
          <w:iCs/>
        </w:rPr>
        <w:t xml:space="preserve">D</w:t>
      </w:r>
      <w:r>
        <w:t xml:space="preserve"> = 10, 30, 50 y 100) y termina antes si la mejor solución alcanza </w:t>
      </w:r>
      <w:r>
        <w:rPr>
          <w:i/>
          <w:iCs/>
        </w:rPr>
        <w:t xml:space="preserve">f</w:t>
      </w:r>
      <w:r>
        <w:t xml:space="preserve">(</w:t>
      </w:r>
      <w:r>
        <w:rPr>
          <w:b/>
          <w:bCs/>
        </w:rPr>
        <w:t xml:space="preserve">x</w:t>
      </w:r>
      <w:r>
        <w:t xml:space="preserve">) ≤ 10</w:t>
      </w:r>
      <w:r>
        <w:rPr>
          <w:vertAlign w:val="superscript"/>
        </w:rPr>
        <w:t xml:space="preserve">−8</w:t>
      </w:r>
      <w:r>
        <w:t xml:space="preserve">, valor a partir del cual el problema se considera resuelto (la condición «</w:t>
      </w:r>
      <w:r>
        <w:rPr>
          <w:i/>
          <w:iCs/>
        </w:rPr>
        <w:t xml:space="preserve">S</w:t>
      </w:r>
      <w:r>
        <w:t xml:space="preserve"> es ideal» de los pseudocódigos de [1]). Se cuenta cada llamada a la función objetivo, incluida la de la solución inicial; en SAHC y SAHC-R el presupuesto puede agotarse a mitad de una iteración. Así, todos los algoritmos compiten con el mismo presupuesto y el número de evaluaciones refleja cuánto esfuerzo necesitó cada uno.</w:t>
      </w:r>
    </w:p>
    <w:p>
      <w:r>
        <w:t xml:space="preserve">Por cada algoritmo y dimensión se hicieron 30 ejecuciones independientes con las semillas 1001 a 1030 del generador Mersenne Twister (mt19937) [5]. En la ejecución </w:t>
      </w:r>
      <w:r>
        <w:rPr>
          <w:i/>
          <w:iCs/>
        </w:rPr>
        <w:t xml:space="preserve">i</w:t>
      </w:r>
      <w:r>
        <w:t xml:space="preserve"> los cuatro algoritmos usan la misma semilla y, por lo tanto, parten de la misma solución inicial, de modo que las diferencias se deben al algoritmo y no al punto de partida.</w:t>
      </w:r>
    </w:p>
    <w:p>
      <w:pPr>
        <w:pStyle w:val="heading2"/>
      </w:pPr>
      <w:r>
        <w:t xml:space="preserve">Configuración de parámetros</w:t>
      </w:r>
    </w:p>
    <w:p>
      <w:pPr>
        <w:pStyle w:val="p1a"/>
      </w:pPr>
      <w:r>
        <w:t xml:space="preserve">Los parámetros se configuraron por separado para cada algoritmo y dimensión con una búsqueda en rejilla. Se probaron </w:t>
      </w:r>
      <w:r>
        <w:rPr>
          <w:i/>
          <w:iCs/>
        </w:rPr>
        <w:t xml:space="preserve">k</w:t>
      </w:r>
      <w:r>
        <w:t xml:space="preserve"> ∈ {1, 2, 5, 10} (es decir, </w:t>
      </w:r>
      <w:r>
        <w:rPr>
          <w:i/>
          <w:iCs/>
        </w:rPr>
        <w:t xml:space="preserve">p</w:t>
      </w:r>
      <w:r>
        <w:t xml:space="preserve"> = </w:t>
      </w:r>
      <w:r>
        <w:rPr>
          <w:i/>
          <w:iCs/>
        </w:rPr>
        <w:t xml:space="preserve">k</w:t>
      </w:r>
      <w:r>
        <w:t xml:space="preserve">/</w:t>
      </w:r>
      <w:r>
        <w:rPr>
          <w:i/>
          <w:iCs/>
        </w:rPr>
        <w:t xml:space="preserve">D</w:t>
      </w:r>
      <w:r>
        <w:t xml:space="preserve">), </w:t>
      </w:r>
      <w:r>
        <w:rPr>
          <w:i/>
          <w:iCs/>
        </w:rPr>
        <w:t xml:space="preserve">r</w:t>
      </w:r>
      <w:r>
        <w:t xml:space="preserve"> ∈ {0.001, 0.01, 0.1, 1}, </w:t>
      </w:r>
      <w:r>
        <w:rPr>
          <w:i/>
          <w:iCs/>
        </w:rPr>
        <w:t xml:space="preserve">n</w:t>
      </w:r>
      <w:r>
        <w:t xml:space="preserve"> ∈ {2, 5, 10, 20, 50} para SAHC y SAHC-R, y </w:t>
      </w:r>
      <w:r>
        <w:rPr>
          <w:i/>
          <w:iCs/>
        </w:rPr>
        <w:t xml:space="preserve">T</w:t>
      </w:r>
      <w:r>
        <w:rPr>
          <w:vertAlign w:val="subscript"/>
        </w:rPr>
        <w:t xml:space="preserve">0</w:t>
      </w:r>
      <w:r>
        <w:t xml:space="preserve"> ∈ {0.001, 0.01, 0.1, 1, 10} para SA: 16 configuraciones para HC y 80 para cada uno de los otros algoritmos. Cada configuración se ejecutó 5 veces con semillas distintas a las del experimento final (5001 a 5005), para no ajustar los parámetros a las mismas ejecuciones que después se reportan; en total fueron 5,120 ejecuciones piloto. Se eligió la configuración con más ejecuciones exitosas; en caso de empate, la de menor mediana de </w:t>
      </w:r>
      <w:r>
        <w:rPr>
          <w:i/>
          <w:iCs/>
        </w:rPr>
        <w:t xml:space="preserve">f</w:t>
      </w:r>
      <w:r>
        <w:t xml:space="preserve"> (los valores menores que 10</w:t>
      </w:r>
      <w:r>
        <w:rPr>
          <w:vertAlign w:val="superscript"/>
        </w:rPr>
        <w:t xml:space="preserve">−8</w:t>
      </w:r>
      <w:r>
        <w:t xml:space="preserve"> cuentan como 10</w:t>
      </w:r>
      <w:r>
        <w:rPr>
          <w:vertAlign w:val="superscript"/>
        </w:rPr>
        <w:t xml:space="preserve">−8</w:t>
      </w:r>
      <w:r>
        <w:t xml:space="preserve">); y si el empate persistía, la que usó menos evaluaciones en promedio. La Tabla 1 muestra la configuración elegida.</w:t>
      </w:r>
    </w:p>
    <w:p>
      <w:pPr>
        <w:pStyle w:val="tablecaption"/>
        <w:jc w:val="both"/>
      </w:pPr>
      <w:r>
        <w:rPr>
          <w:b/>
          <w:bCs/>
        </w:rPr>
        <w:t xml:space="preserve">Tabla </w:t>
      </w:r>
      <w:r>
        <w:rPr>
          <w:b/>
          <w:bCs/>
        </w:rPr>
        <w:t xml:space="preserve">1</w:t>
      </w:r>
      <w:r>
        <w:rPr>
          <w:b/>
          <w:bCs/>
        </w:rPr>
        <w:t xml:space="preserve">.</w:t>
      </w:r>
      <w:r>
        <w:t xml:space="preserve"> </w:t>
      </w:r>
      <w:r>
        <w:t xml:space="preserve">Parámetros elegidos para cada algoritmo y dimensión. </w:t>
      </w:r>
      <w:r>
        <w:rPr>
          <w:i/>
          <w:iCs/>
        </w:rPr>
        <w:t xml:space="preserve">p</w:t>
      </w:r>
      <w:r>
        <w:t xml:space="preserve"> = </w:t>
      </w:r>
      <w:r>
        <w:rPr>
          <w:i/>
          <w:iCs/>
        </w:rPr>
        <w:t xml:space="preserve">k</w:t>
      </w:r>
      <w:r>
        <w:t xml:space="preserve">/</w:t>
      </w:r>
      <w:r>
        <w:rPr>
          <w:i/>
          <w:iCs/>
        </w:rPr>
        <w:t xml:space="preserve">D</w:t>
      </w:r>
      <w:r>
        <w:t xml:space="preserve">: probabilidad de modificar cada componente (</w:t>
      </w:r>
      <w:r>
        <w:rPr>
          <w:i/>
          <w:iCs/>
        </w:rPr>
        <w:t xml:space="preserve">k</w:t>
      </w:r>
      <w:r>
        <w:t xml:space="preserve"> entre paréntesis); </w:t>
      </w:r>
      <w:r>
        <w:rPr>
          <w:i/>
          <w:iCs/>
        </w:rPr>
        <w:t xml:space="preserve">r</w:t>
      </w:r>
      <w:r>
        <w:t xml:space="preserve">: amplitud del ruido; </w:t>
      </w:r>
      <w:r>
        <w:rPr>
          <w:i/>
          <w:iCs/>
        </w:rPr>
        <w:t xml:space="preserve">n</w:t>
      </w:r>
      <w:r>
        <w:t xml:space="preserve">: vecinos por iteración; </w:t>
      </w:r>
      <w:r>
        <w:rPr>
          <w:i/>
          <w:iCs/>
        </w:rPr>
        <w:t xml:space="preserve">T</w:t>
      </w:r>
      <w:r>
        <w:rPr>
          <w:vertAlign w:val="subscript"/>
        </w:rPr>
        <w:t xml:space="preserve">0</w:t>
      </w:r>
      <w:r>
        <w:t xml:space="preserve">: temperatura inicial.</w:t>
      </w:r>
    </w:p>
    <w:tbl>
      <w:tblPr>
        <w:tblW w:w="8500" w:type="dxa"/>
        <w:jc w:val="center"/>
        <w:tblLayout w:type="fixed"/>
        <w:tblCellMar>
          <w:left w:w="70" w:type="dxa"/>
          <w:right w:w="70" w:type="dxa"/>
        </w:tblCellMar>
        <w:tblLook w:val="0000" w:firstRow="0" w:lastRow="0" w:firstColumn="0" w:lastColumn="0" w:noHBand="0" w:noVBand="0"/>
      </w:tblPr>
      <w:tblGrid>
        <w:gridCol w:w="2500"/>
        <w:gridCol w:w="900"/>
        <w:gridCol w:w="1275"/>
        <w:gridCol w:w="1275"/>
        <w:gridCol w:w="1275"/>
        <w:gridCol w:w="1275"/>
      </w:tblGrid>
      <w:tr>
        <w:trPr>
          <w:cantSplit/>
          <w:jc w:val="center"/>
          <w:tblHeader/>
        </w:trPr>
        <w:tc>
          <w:tcPr>
            <w:tcW w:w="2500" w:type="dxa"/>
            <w:tcBorders>
              <w:top w:val="single" w:sz="12" w:space="0" w:color="000000"/>
              <w:bottom w:val="single" w:sz="6" w:space="0" w:color="000000"/>
            </w:tcBorders>
            <w:vAlign w:val="center"/>
          </w:tcPr>
          <w:p>
            <w:pPr>
              <w:keepNext/>
              <w:spacing w:before="20" w:after="20" w:line="220" w:lineRule="atLeast"/>
              <w:ind w:firstLine="0"/>
              <w:jc w:val="left"/>
              <w:rPr>
                <w:sz w:val="18"/>
                <w:szCs w:val="18"/>
              </w:rPr>
            </w:pPr>
            <w:r>
              <w:rPr>
                <w:sz w:val="18"/>
                <w:szCs w:val="18"/>
              </w:rPr>
              <w:t xml:space="preserve">Algoritmo</w:t>
            </w:r>
          </w:p>
        </w:tc>
        <w:tc>
          <w:tcPr>
            <w:tcW w:w="900" w:type="dxa"/>
            <w:tcBorders>
              <w:top w:val="single" w:sz="12" w:space="0" w:color="000000"/>
              <w:bottom w:val="single" w:sz="6" w:space="0" w:color="000000"/>
            </w:tcBorders>
            <w:vAlign w:val="center"/>
          </w:tcPr>
          <w:p>
            <w:pPr>
              <w:keepNext/>
              <w:spacing w:before="20" w:after="20" w:line="220" w:lineRule="atLeast"/>
              <w:ind w:firstLine="0"/>
              <w:jc w:val="left"/>
              <w:rPr>
                <w:sz w:val="18"/>
                <w:szCs w:val="18"/>
              </w:rPr>
            </w:pPr>
            <w:r>
              <w:rPr>
                <w:sz w:val="18"/>
                <w:szCs w:val="18"/>
              </w:rPr>
              <w:t xml:space="preserve">Parámetro</w:t>
            </w:r>
          </w:p>
        </w:tc>
        <w:tc>
          <w:tcPr>
            <w:tcW w:w="1275"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i/>
                <w:iCs/>
                <w:sz w:val="18"/>
                <w:szCs w:val="18"/>
              </w:rPr>
              <w:t xml:space="preserve">D</w:t>
            </w:r>
            <w:r>
              <w:rPr>
                <w:sz w:val="18"/>
                <w:szCs w:val="18"/>
              </w:rPr>
              <w:t xml:space="preserve"> = 10</w:t>
            </w:r>
          </w:p>
        </w:tc>
        <w:tc>
          <w:tcPr>
            <w:tcW w:w="1275"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i/>
                <w:iCs/>
                <w:sz w:val="18"/>
                <w:szCs w:val="18"/>
              </w:rPr>
              <w:t xml:space="preserve">D</w:t>
            </w:r>
            <w:r>
              <w:rPr>
                <w:sz w:val="18"/>
                <w:szCs w:val="18"/>
              </w:rPr>
              <w:t xml:space="preserve"> = 30</w:t>
            </w:r>
          </w:p>
        </w:tc>
        <w:tc>
          <w:tcPr>
            <w:tcW w:w="1275"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i/>
                <w:iCs/>
                <w:sz w:val="18"/>
                <w:szCs w:val="18"/>
              </w:rPr>
              <w:t xml:space="preserve">D</w:t>
            </w:r>
            <w:r>
              <w:rPr>
                <w:sz w:val="18"/>
                <w:szCs w:val="18"/>
              </w:rPr>
              <w:t xml:space="preserve"> = 50</w:t>
            </w:r>
          </w:p>
        </w:tc>
        <w:tc>
          <w:tcPr>
            <w:tcW w:w="1275"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i/>
                <w:iCs/>
                <w:sz w:val="18"/>
                <w:szCs w:val="18"/>
              </w:rPr>
              <w:t xml:space="preserve">D</w:t>
            </w:r>
            <w:r>
              <w:rPr>
                <w:sz w:val="18"/>
                <w:szCs w:val="18"/>
              </w:rPr>
              <w:t xml:space="preserve"> = 100</w:t>
            </w:r>
          </w:p>
        </w:tc>
      </w:tr>
      <w:tr>
        <w:trPr>
          <w:cantSplit/>
          <w:jc w:val="center"/>
        </w:trPr>
        <w:tc>
          <w:tcPr>
            <w:tcW w:w="2500" w:type="dxa"/>
            <w:tcBorders/>
            <w:vAlign w:val="center"/>
          </w:tcPr>
          <w:p>
            <w:pPr>
              <w:keepNext/>
              <w:spacing w:before="20" w:after="20" w:line="220" w:lineRule="atLeast"/>
              <w:ind w:firstLine="0"/>
              <w:jc w:val="left"/>
              <w:rPr>
                <w:sz w:val="18"/>
                <w:szCs w:val="18"/>
              </w:rPr>
            </w:pPr>
            <w:r>
              <w:rPr>
                <w:sz w:val="18"/>
                <w:szCs w:val="18"/>
              </w:rPr>
              <w:t xml:space="preserve">Hill Climbing (HC)</w:t>
            </w:r>
          </w:p>
        </w:tc>
        <w:tc>
          <w:tcPr>
            <w:tcW w:w="900" w:type="dxa"/>
            <w:tcBorders/>
            <w:vAlign w:val="center"/>
          </w:tcPr>
          <w:p>
            <w:pPr>
              <w:keepNext/>
              <w:spacing w:before="20" w:after="20" w:line="220" w:lineRule="atLeast"/>
              <w:ind w:firstLine="0"/>
              <w:jc w:val="left"/>
              <w:rPr>
                <w:sz w:val="18"/>
                <w:szCs w:val="18"/>
              </w:rPr>
            </w:pPr>
            <w:r>
              <w:rPr>
                <w:i/>
                <w:iCs/>
                <w:sz w:val="18"/>
                <w:szCs w:val="18"/>
              </w:rPr>
              <w:t xml:space="preserve">p</w:t>
            </w:r>
            <w:r>
              <w:rPr>
                <w:sz w:val="18"/>
                <w:szCs w:val="18"/>
              </w:rPr>
              <w:t xml:space="preserve"> (</w:t>
            </w:r>
            <w:r>
              <w:rPr>
                <w:i/>
                <w:iCs/>
                <w:sz w:val="18"/>
                <w:szCs w:val="18"/>
              </w:rPr>
              <w:t xml:space="preserve">k</w:t>
            </w:r>
            <w:r>
              <w:rPr>
                <w:sz w:val="18"/>
                <w:szCs w:val="18"/>
              </w:rPr>
              <w:t xml:space="preserve">)</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0.200 (2)</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0.067 (2)</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0.040 (2)</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0.010 (1)</w:t>
            </w:r>
          </w:p>
        </w:tc>
      </w:tr>
      <w:tr>
        <w:trPr>
          <w:cantSplit/>
          <w:jc w:val="center"/>
        </w:trPr>
        <w:tc>
          <w:tcPr>
            <w:tcW w:w="2500" w:type="dxa"/>
            <w:tcBorders/>
            <w:vAlign w:val="center"/>
          </w:tcPr>
          <w:p>
            <w:pPr>
              <w:keepNext/>
              <w:spacing w:before="20" w:after="20" w:line="220" w:lineRule="atLeast"/>
              <w:ind w:firstLine="0"/>
              <w:jc w:val="left"/>
              <w:rPr>
                <w:sz w:val="18"/>
                <w:szCs w:val="18"/>
              </w:rPr>
            </w:pPr>
          </w:p>
        </w:tc>
        <w:tc>
          <w:tcPr>
            <w:tcW w:w="900" w:type="dxa"/>
            <w:tcBorders/>
            <w:vAlign w:val="center"/>
          </w:tcPr>
          <w:p>
            <w:pPr>
              <w:keepNext/>
              <w:spacing w:before="20" w:after="20" w:line="220" w:lineRule="atLeast"/>
              <w:ind w:firstLine="0"/>
              <w:jc w:val="left"/>
              <w:rPr>
                <w:sz w:val="18"/>
                <w:szCs w:val="18"/>
              </w:rPr>
            </w:pPr>
            <w:r>
              <w:rPr>
                <w:i/>
                <w:iCs/>
                <w:sz w:val="18"/>
                <w:szCs w:val="18"/>
              </w:rPr>
              <w:t xml:space="preserve">r</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r>
      <w:tr>
        <w:trPr>
          <w:cantSplit/>
          <w:jc w:val="center"/>
        </w:trPr>
        <w:tc>
          <w:tcPr>
            <w:tcW w:w="2500" w:type="dxa"/>
            <w:tcBorders>
              <w:top w:val="single" w:sz="4" w:space="0" w:color="808080"/>
            </w:tcBorders>
            <w:vAlign w:val="center"/>
          </w:tcPr>
          <w:p>
            <w:pPr>
              <w:keepNext/>
              <w:spacing w:before="20" w:after="20" w:line="220" w:lineRule="atLeast"/>
              <w:ind w:firstLine="0"/>
              <w:jc w:val="left"/>
              <w:rPr>
                <w:sz w:val="18"/>
                <w:szCs w:val="18"/>
              </w:rPr>
            </w:pPr>
            <w:r>
              <w:rPr>
                <w:sz w:val="18"/>
                <w:szCs w:val="18"/>
              </w:rPr>
              <w:t xml:space="preserve">Steepest Ascent (SAHC)</w:t>
            </w:r>
          </w:p>
        </w:tc>
        <w:tc>
          <w:tcPr>
            <w:tcW w:w="900" w:type="dxa"/>
            <w:tcBorders>
              <w:top w:val="single" w:sz="4" w:space="0" w:color="808080"/>
            </w:tcBorders>
            <w:vAlign w:val="center"/>
          </w:tcPr>
          <w:p>
            <w:pPr>
              <w:keepNext/>
              <w:spacing w:before="20" w:after="20" w:line="220" w:lineRule="atLeast"/>
              <w:ind w:firstLine="0"/>
              <w:jc w:val="left"/>
              <w:rPr>
                <w:sz w:val="18"/>
                <w:szCs w:val="18"/>
              </w:rPr>
            </w:pPr>
            <w:r>
              <w:rPr>
                <w:i/>
                <w:iCs/>
                <w:sz w:val="18"/>
                <w:szCs w:val="18"/>
              </w:rPr>
              <w:t xml:space="preserve">p</w:t>
            </w:r>
            <w:r>
              <w:rPr>
                <w:sz w:val="18"/>
                <w:szCs w:val="18"/>
              </w:rPr>
              <w:t xml:space="preserve"> (</w:t>
            </w:r>
            <w:r>
              <w:rPr>
                <w:i/>
                <w:iCs/>
                <w:sz w:val="18"/>
                <w:szCs w:val="18"/>
              </w:rPr>
              <w:t xml:space="preserve">k</w:t>
            </w:r>
            <w:r>
              <w:rPr>
                <w:sz w:val="18"/>
                <w:szCs w:val="18"/>
              </w:rPr>
              <w:t xml:space="preserve">)</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0.200 (2)</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0.067 (2)</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0.040 (2)</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0.020 (2)</w:t>
            </w:r>
          </w:p>
        </w:tc>
      </w:tr>
      <w:tr>
        <w:trPr>
          <w:cantSplit/>
          <w:jc w:val="center"/>
        </w:trPr>
        <w:tc>
          <w:tcPr>
            <w:tcW w:w="2500" w:type="dxa"/>
            <w:tcBorders/>
            <w:vAlign w:val="center"/>
          </w:tcPr>
          <w:p>
            <w:pPr>
              <w:keepNext/>
              <w:spacing w:before="20" w:after="20" w:line="220" w:lineRule="atLeast"/>
              <w:ind w:firstLine="0"/>
              <w:jc w:val="left"/>
              <w:rPr>
                <w:sz w:val="18"/>
                <w:szCs w:val="18"/>
              </w:rPr>
            </w:pPr>
          </w:p>
        </w:tc>
        <w:tc>
          <w:tcPr>
            <w:tcW w:w="900" w:type="dxa"/>
            <w:tcBorders/>
            <w:vAlign w:val="center"/>
          </w:tcPr>
          <w:p>
            <w:pPr>
              <w:keepNext/>
              <w:spacing w:before="20" w:after="20" w:line="220" w:lineRule="atLeast"/>
              <w:ind w:firstLine="0"/>
              <w:jc w:val="left"/>
              <w:rPr>
                <w:sz w:val="18"/>
                <w:szCs w:val="18"/>
              </w:rPr>
            </w:pPr>
            <w:r>
              <w:rPr>
                <w:i/>
                <w:iCs/>
                <w:sz w:val="18"/>
                <w:szCs w:val="18"/>
              </w:rPr>
              <w:t xml:space="preserve">r</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r>
      <w:tr>
        <w:trPr>
          <w:cantSplit/>
          <w:jc w:val="center"/>
        </w:trPr>
        <w:tc>
          <w:tcPr>
            <w:tcW w:w="2500" w:type="dxa"/>
            <w:tcBorders/>
            <w:vAlign w:val="center"/>
          </w:tcPr>
          <w:p>
            <w:pPr>
              <w:keepNext/>
              <w:spacing w:before="20" w:after="20" w:line="220" w:lineRule="atLeast"/>
              <w:ind w:firstLine="0"/>
              <w:jc w:val="left"/>
              <w:rPr>
                <w:sz w:val="18"/>
                <w:szCs w:val="18"/>
              </w:rPr>
            </w:pPr>
          </w:p>
        </w:tc>
        <w:tc>
          <w:tcPr>
            <w:tcW w:w="900" w:type="dxa"/>
            <w:tcBorders/>
            <w:vAlign w:val="center"/>
          </w:tcPr>
          <w:p>
            <w:pPr>
              <w:keepNext/>
              <w:spacing w:before="20" w:after="20" w:line="220" w:lineRule="atLeast"/>
              <w:ind w:firstLine="0"/>
              <w:jc w:val="left"/>
              <w:rPr>
                <w:sz w:val="18"/>
                <w:szCs w:val="18"/>
              </w:rPr>
            </w:pPr>
            <w:r>
              <w:rPr>
                <w:i/>
                <w:iCs/>
                <w:sz w:val="18"/>
                <w:szCs w:val="18"/>
              </w:rPr>
              <w:t xml:space="preserve">n</w:t>
            </w:r>
          </w:p>
        </w:tc>
        <w:tc>
          <w:tcPr>
            <w:tcW w:w="1275" w:type="dxa"/>
            <w:tcBorders/>
            <w:vAlign w:val="center"/>
          </w:tcPr>
          <w:p>
            <w:pPr>
              <w:keepNext/>
              <w:spacing w:before="20" w:after="20" w:line="220" w:lineRule="atLeast"/>
              <w:ind w:firstLine="0"/>
              <w:jc w:val="center"/>
              <w:rPr>
                <w:sz w:val="18"/>
                <w:szCs w:val="18"/>
              </w:rPr>
            </w:pPr>
            <w:r>
              <w:rPr>
                <w:sz w:val="18"/>
                <w:szCs w:val="18"/>
              </w:rPr>
              <w:t xml:space="preserve">2</w:t>
            </w:r>
          </w:p>
        </w:tc>
        <w:tc>
          <w:tcPr>
            <w:tcW w:w="1275" w:type="dxa"/>
            <w:tcBorders/>
            <w:vAlign w:val="center"/>
          </w:tcPr>
          <w:p>
            <w:pPr>
              <w:keepNext/>
              <w:spacing w:before="20" w:after="20" w:line="220" w:lineRule="atLeast"/>
              <w:ind w:firstLine="0"/>
              <w:jc w:val="center"/>
              <w:rPr>
                <w:sz w:val="18"/>
                <w:szCs w:val="18"/>
              </w:rPr>
            </w:pPr>
            <w:r>
              <w:rPr>
                <w:sz w:val="18"/>
                <w:szCs w:val="18"/>
              </w:rPr>
              <w:t xml:space="preserve">5</w:t>
            </w:r>
          </w:p>
        </w:tc>
        <w:tc>
          <w:tcPr>
            <w:tcW w:w="1275" w:type="dxa"/>
            <w:tcBorders/>
            <w:vAlign w:val="center"/>
          </w:tcPr>
          <w:p>
            <w:pPr>
              <w:keepNext/>
              <w:spacing w:before="20" w:after="20" w:line="220" w:lineRule="atLeast"/>
              <w:ind w:firstLine="0"/>
              <w:jc w:val="center"/>
              <w:rPr>
                <w:sz w:val="18"/>
                <w:szCs w:val="18"/>
              </w:rPr>
            </w:pPr>
            <w:r>
              <w:rPr>
                <w:sz w:val="18"/>
                <w:szCs w:val="18"/>
              </w:rPr>
              <w:t xml:space="preserve">2</w:t>
            </w:r>
          </w:p>
        </w:tc>
        <w:tc>
          <w:tcPr>
            <w:tcW w:w="1275" w:type="dxa"/>
            <w:tcBorders/>
            <w:vAlign w:val="center"/>
          </w:tcPr>
          <w:p>
            <w:pPr>
              <w:keepNext/>
              <w:spacing w:before="20" w:after="20" w:line="220" w:lineRule="atLeast"/>
              <w:ind w:firstLine="0"/>
              <w:jc w:val="center"/>
              <w:rPr>
                <w:sz w:val="18"/>
                <w:szCs w:val="18"/>
              </w:rPr>
            </w:pPr>
            <w:r>
              <w:rPr>
                <w:sz w:val="18"/>
                <w:szCs w:val="18"/>
              </w:rPr>
              <w:t xml:space="preserve">2</w:t>
            </w:r>
          </w:p>
        </w:tc>
      </w:tr>
      <w:tr>
        <w:trPr>
          <w:cantSplit/>
          <w:jc w:val="center"/>
        </w:trPr>
        <w:tc>
          <w:tcPr>
            <w:tcW w:w="2500" w:type="dxa"/>
            <w:tcBorders>
              <w:top w:val="single" w:sz="4" w:space="0" w:color="808080"/>
            </w:tcBorders>
            <w:vAlign w:val="center"/>
          </w:tcPr>
          <w:p>
            <w:pPr>
              <w:keepNext/>
              <w:spacing w:before="20" w:after="20" w:line="220" w:lineRule="atLeast"/>
              <w:ind w:firstLine="0"/>
              <w:jc w:val="left"/>
              <w:rPr>
                <w:sz w:val="18"/>
                <w:szCs w:val="18"/>
              </w:rPr>
            </w:pPr>
            <w:r>
              <w:rPr>
                <w:sz w:val="18"/>
                <w:szCs w:val="18"/>
              </w:rPr>
              <w:t xml:space="preserve">Steepest Ascent with Replacement (SAHC-R)</w:t>
            </w:r>
          </w:p>
        </w:tc>
        <w:tc>
          <w:tcPr>
            <w:tcW w:w="900" w:type="dxa"/>
            <w:tcBorders>
              <w:top w:val="single" w:sz="4" w:space="0" w:color="808080"/>
            </w:tcBorders>
            <w:vAlign w:val="center"/>
          </w:tcPr>
          <w:p>
            <w:pPr>
              <w:keepNext/>
              <w:spacing w:before="20" w:after="20" w:line="220" w:lineRule="atLeast"/>
              <w:ind w:firstLine="0"/>
              <w:jc w:val="left"/>
              <w:rPr>
                <w:sz w:val="18"/>
                <w:szCs w:val="18"/>
              </w:rPr>
            </w:pPr>
            <w:r>
              <w:rPr>
                <w:i/>
                <w:iCs/>
                <w:sz w:val="18"/>
                <w:szCs w:val="18"/>
              </w:rPr>
              <w:t xml:space="preserve">p</w:t>
            </w:r>
            <w:r>
              <w:rPr>
                <w:sz w:val="18"/>
                <w:szCs w:val="18"/>
              </w:rPr>
              <w:t xml:space="preserve"> (</w:t>
            </w:r>
            <w:r>
              <w:rPr>
                <w:i/>
                <w:iCs/>
                <w:sz w:val="18"/>
                <w:szCs w:val="18"/>
              </w:rPr>
              <w:t xml:space="preserve">k</w:t>
            </w:r>
            <w:r>
              <w:rPr>
                <w:sz w:val="18"/>
                <w:szCs w:val="18"/>
              </w:rPr>
              <w:t xml:space="preserve">)</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0.100 (1)</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0.033 (1)</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0.020 (1)</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0.010 (1)</w:t>
            </w:r>
          </w:p>
        </w:tc>
      </w:tr>
      <w:tr>
        <w:trPr>
          <w:cantSplit/>
          <w:jc w:val="center"/>
        </w:trPr>
        <w:tc>
          <w:tcPr>
            <w:tcW w:w="2500" w:type="dxa"/>
            <w:tcBorders/>
            <w:vAlign w:val="center"/>
          </w:tcPr>
          <w:p>
            <w:pPr>
              <w:keepNext/>
              <w:spacing w:before="20" w:after="20" w:line="220" w:lineRule="atLeast"/>
              <w:ind w:firstLine="0"/>
              <w:jc w:val="left"/>
              <w:rPr>
                <w:sz w:val="18"/>
                <w:szCs w:val="18"/>
              </w:rPr>
            </w:pPr>
          </w:p>
        </w:tc>
        <w:tc>
          <w:tcPr>
            <w:tcW w:w="900" w:type="dxa"/>
            <w:tcBorders/>
            <w:vAlign w:val="center"/>
          </w:tcPr>
          <w:p>
            <w:pPr>
              <w:keepNext/>
              <w:spacing w:before="20" w:after="20" w:line="220" w:lineRule="atLeast"/>
              <w:ind w:firstLine="0"/>
              <w:jc w:val="left"/>
              <w:rPr>
                <w:sz w:val="18"/>
                <w:szCs w:val="18"/>
              </w:rPr>
            </w:pPr>
            <w:r>
              <w:rPr>
                <w:i/>
                <w:iCs/>
                <w:sz w:val="18"/>
                <w:szCs w:val="18"/>
              </w:rPr>
              <w:t xml:space="preserve">r</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0.1</w:t>
            </w:r>
          </w:p>
        </w:tc>
      </w:tr>
      <w:tr>
        <w:trPr>
          <w:cantSplit/>
          <w:jc w:val="center"/>
        </w:trPr>
        <w:tc>
          <w:tcPr>
            <w:tcW w:w="2500" w:type="dxa"/>
            <w:tcBorders/>
            <w:vAlign w:val="center"/>
          </w:tcPr>
          <w:p>
            <w:pPr>
              <w:keepNext/>
              <w:spacing w:before="20" w:after="20" w:line="220" w:lineRule="atLeast"/>
              <w:ind w:firstLine="0"/>
              <w:jc w:val="left"/>
              <w:rPr>
                <w:sz w:val="18"/>
                <w:szCs w:val="18"/>
              </w:rPr>
            </w:pPr>
          </w:p>
        </w:tc>
        <w:tc>
          <w:tcPr>
            <w:tcW w:w="900" w:type="dxa"/>
            <w:tcBorders/>
            <w:vAlign w:val="center"/>
          </w:tcPr>
          <w:p>
            <w:pPr>
              <w:keepNext/>
              <w:spacing w:before="20" w:after="20" w:line="220" w:lineRule="atLeast"/>
              <w:ind w:firstLine="0"/>
              <w:jc w:val="left"/>
              <w:rPr>
                <w:sz w:val="18"/>
                <w:szCs w:val="18"/>
              </w:rPr>
            </w:pPr>
            <w:r>
              <w:rPr>
                <w:i/>
                <w:iCs/>
                <w:sz w:val="18"/>
                <w:szCs w:val="18"/>
              </w:rPr>
              <w:t xml:space="preserve">n</w:t>
            </w:r>
          </w:p>
        </w:tc>
        <w:tc>
          <w:tcPr>
            <w:tcW w:w="1275" w:type="dxa"/>
            <w:tcBorders/>
            <w:vAlign w:val="center"/>
          </w:tcPr>
          <w:p>
            <w:pPr>
              <w:keepNext/>
              <w:spacing w:before="20" w:after="20" w:line="220" w:lineRule="atLeast"/>
              <w:ind w:firstLine="0"/>
              <w:jc w:val="center"/>
              <w:rPr>
                <w:sz w:val="18"/>
                <w:szCs w:val="18"/>
              </w:rPr>
            </w:pPr>
            <w:r>
              <w:rPr>
                <w:sz w:val="18"/>
                <w:szCs w:val="18"/>
              </w:rPr>
              <w:t xml:space="preserve">20</w:t>
            </w:r>
          </w:p>
        </w:tc>
        <w:tc>
          <w:tcPr>
            <w:tcW w:w="1275" w:type="dxa"/>
            <w:tcBorders/>
            <w:vAlign w:val="center"/>
          </w:tcPr>
          <w:p>
            <w:pPr>
              <w:keepNext/>
              <w:spacing w:before="20" w:after="20" w:line="220" w:lineRule="atLeast"/>
              <w:ind w:firstLine="0"/>
              <w:jc w:val="center"/>
              <w:rPr>
                <w:sz w:val="18"/>
                <w:szCs w:val="18"/>
              </w:rPr>
            </w:pPr>
            <w:r>
              <w:rPr>
                <w:sz w:val="18"/>
                <w:szCs w:val="18"/>
              </w:rPr>
              <w:t xml:space="preserve">20</w:t>
            </w:r>
          </w:p>
        </w:tc>
        <w:tc>
          <w:tcPr>
            <w:tcW w:w="1275" w:type="dxa"/>
            <w:tcBorders/>
            <w:vAlign w:val="center"/>
          </w:tcPr>
          <w:p>
            <w:pPr>
              <w:keepNext/>
              <w:spacing w:before="20" w:after="20" w:line="220" w:lineRule="atLeast"/>
              <w:ind w:firstLine="0"/>
              <w:jc w:val="center"/>
              <w:rPr>
                <w:sz w:val="18"/>
                <w:szCs w:val="18"/>
              </w:rPr>
            </w:pPr>
            <w:r>
              <w:rPr>
                <w:sz w:val="18"/>
                <w:szCs w:val="18"/>
              </w:rPr>
              <w:t xml:space="preserve">50</w:t>
            </w:r>
          </w:p>
        </w:tc>
        <w:tc>
          <w:tcPr>
            <w:tcW w:w="1275" w:type="dxa"/>
            <w:tcBorders/>
            <w:vAlign w:val="center"/>
          </w:tcPr>
          <w:p>
            <w:pPr>
              <w:keepNext/>
              <w:spacing w:before="20" w:after="20" w:line="220" w:lineRule="atLeast"/>
              <w:ind w:firstLine="0"/>
              <w:jc w:val="center"/>
              <w:rPr>
                <w:sz w:val="18"/>
                <w:szCs w:val="18"/>
              </w:rPr>
            </w:pPr>
            <w:r>
              <w:rPr>
                <w:sz w:val="18"/>
                <w:szCs w:val="18"/>
              </w:rPr>
              <w:t xml:space="preserve">20</w:t>
            </w:r>
          </w:p>
        </w:tc>
      </w:tr>
      <w:tr>
        <w:trPr>
          <w:cantSplit/>
          <w:jc w:val="center"/>
        </w:trPr>
        <w:tc>
          <w:tcPr>
            <w:tcW w:w="2500" w:type="dxa"/>
            <w:tcBorders>
              <w:top w:val="single" w:sz="4" w:space="0" w:color="808080"/>
            </w:tcBorders>
            <w:vAlign w:val="center"/>
          </w:tcPr>
          <w:p>
            <w:pPr>
              <w:keepNext/>
              <w:spacing w:before="20" w:after="20" w:line="220" w:lineRule="atLeast"/>
              <w:ind w:firstLine="0"/>
              <w:jc w:val="left"/>
              <w:rPr>
                <w:sz w:val="18"/>
                <w:szCs w:val="18"/>
              </w:rPr>
            </w:pPr>
            <w:r>
              <w:rPr>
                <w:sz w:val="18"/>
                <w:szCs w:val="18"/>
              </w:rPr>
              <w:t xml:space="preserve">Simulated Annealing (SA)</w:t>
            </w:r>
          </w:p>
        </w:tc>
        <w:tc>
          <w:tcPr>
            <w:tcW w:w="900" w:type="dxa"/>
            <w:tcBorders>
              <w:top w:val="single" w:sz="4" w:space="0" w:color="808080"/>
            </w:tcBorders>
            <w:vAlign w:val="center"/>
          </w:tcPr>
          <w:p>
            <w:pPr>
              <w:keepNext/>
              <w:spacing w:before="20" w:after="20" w:line="220" w:lineRule="atLeast"/>
              <w:ind w:firstLine="0"/>
              <w:jc w:val="left"/>
              <w:rPr>
                <w:sz w:val="18"/>
                <w:szCs w:val="18"/>
              </w:rPr>
            </w:pPr>
            <w:r>
              <w:rPr>
                <w:i/>
                <w:iCs/>
                <w:sz w:val="18"/>
                <w:szCs w:val="18"/>
              </w:rPr>
              <w:t xml:space="preserve">p</w:t>
            </w:r>
            <w:r>
              <w:rPr>
                <w:sz w:val="18"/>
                <w:szCs w:val="18"/>
              </w:rPr>
              <w:t xml:space="preserve"> (</w:t>
            </w:r>
            <w:r>
              <w:rPr>
                <w:i/>
                <w:iCs/>
                <w:sz w:val="18"/>
                <w:szCs w:val="18"/>
              </w:rPr>
              <w:t xml:space="preserve">k</w:t>
            </w:r>
            <w:r>
              <w:rPr>
                <w:sz w:val="18"/>
                <w:szCs w:val="18"/>
              </w:rPr>
              <w:t xml:space="preserve">)</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0.100 (1)</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0.033 (1)</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0.020 (1)</w:t>
            </w:r>
          </w:p>
        </w:tc>
        <w:tc>
          <w:tcPr>
            <w:tcW w:w="1275" w:type="dxa"/>
            <w:tcBorders>
              <w:top w:val="single" w:sz="4" w:space="0" w:color="808080"/>
            </w:tcBorders>
            <w:vAlign w:val="center"/>
          </w:tcPr>
          <w:p>
            <w:pPr>
              <w:keepNext/>
              <w:spacing w:before="20" w:after="20" w:line="220" w:lineRule="atLeast"/>
              <w:ind w:firstLine="0"/>
              <w:jc w:val="center"/>
              <w:rPr>
                <w:sz w:val="18"/>
                <w:szCs w:val="18"/>
              </w:rPr>
            </w:pPr>
            <w:r>
              <w:rPr>
                <w:sz w:val="18"/>
                <w:szCs w:val="18"/>
              </w:rPr>
              <w:t xml:space="preserve">0.010 (1)</w:t>
            </w:r>
          </w:p>
        </w:tc>
      </w:tr>
      <w:tr>
        <w:trPr>
          <w:cantSplit/>
          <w:jc w:val="center"/>
        </w:trPr>
        <w:tc>
          <w:tcPr>
            <w:tcW w:w="2500" w:type="dxa"/>
            <w:tcBorders/>
            <w:vAlign w:val="center"/>
          </w:tcPr>
          <w:p>
            <w:pPr>
              <w:keepNext/>
              <w:spacing w:before="20" w:after="20" w:line="220" w:lineRule="atLeast"/>
              <w:ind w:firstLine="0"/>
              <w:jc w:val="left"/>
              <w:rPr>
                <w:sz w:val="18"/>
                <w:szCs w:val="18"/>
              </w:rPr>
            </w:pPr>
          </w:p>
        </w:tc>
        <w:tc>
          <w:tcPr>
            <w:tcW w:w="900" w:type="dxa"/>
            <w:tcBorders/>
            <w:vAlign w:val="center"/>
          </w:tcPr>
          <w:p>
            <w:pPr>
              <w:keepNext/>
              <w:spacing w:before="20" w:after="20" w:line="220" w:lineRule="atLeast"/>
              <w:ind w:firstLine="0"/>
              <w:jc w:val="left"/>
              <w:rPr>
                <w:sz w:val="18"/>
                <w:szCs w:val="18"/>
              </w:rPr>
            </w:pPr>
            <w:r>
              <w:rPr>
                <w:i/>
                <w:iCs/>
                <w:sz w:val="18"/>
                <w:szCs w:val="18"/>
              </w:rPr>
              <w:t xml:space="preserve">r</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c>
          <w:tcPr>
            <w:tcW w:w="1275" w:type="dxa"/>
            <w:tcBorders/>
            <w:vAlign w:val="center"/>
          </w:tcPr>
          <w:p>
            <w:pPr>
              <w:keepNext/>
              <w:spacing w:before="20" w:after="20" w:line="220" w:lineRule="atLeast"/>
              <w:ind w:firstLine="0"/>
              <w:jc w:val="center"/>
              <w:rPr>
                <w:sz w:val="18"/>
                <w:szCs w:val="18"/>
              </w:rPr>
            </w:pPr>
            <w:r>
              <w:rPr>
                <w:sz w:val="18"/>
                <w:szCs w:val="18"/>
              </w:rPr>
              <w:t xml:space="preserve">0.01</w:t>
            </w:r>
          </w:p>
        </w:tc>
      </w:tr>
      <w:tr>
        <w:trPr>
          <w:cantSplit/>
          <w:jc w:val="center"/>
        </w:trPr>
        <w:tc>
          <w:tcPr>
            <w:tcW w:w="2500" w:type="dxa"/>
            <w:tcBorders>
              <w:bottom w:val="single" w:sz="12" w:space="0" w:color="000000"/>
            </w:tcBorders>
            <w:vAlign w:val="center"/>
          </w:tcPr>
          <w:p>
            <w:pPr>
              <w:spacing w:before="20" w:after="20" w:line="220" w:lineRule="atLeast"/>
              <w:ind w:firstLine="0"/>
              <w:jc w:val="left"/>
              <w:rPr>
                <w:sz w:val="18"/>
                <w:szCs w:val="18"/>
              </w:rPr>
            </w:pPr>
          </w:p>
        </w:tc>
        <w:tc>
          <w:tcPr>
            <w:tcW w:w="900" w:type="dxa"/>
            <w:tcBorders>
              <w:bottom w:val="single" w:sz="12" w:space="0" w:color="000000"/>
            </w:tcBorders>
            <w:vAlign w:val="center"/>
          </w:tcPr>
          <w:p>
            <w:pPr>
              <w:spacing w:before="20" w:after="20" w:line="220" w:lineRule="atLeast"/>
              <w:ind w:firstLine="0"/>
              <w:jc w:val="left"/>
              <w:rPr>
                <w:sz w:val="18"/>
                <w:szCs w:val="18"/>
              </w:rPr>
            </w:pPr>
            <w:r>
              <w:rPr>
                <w:i/>
                <w:iCs/>
                <w:sz w:val="18"/>
                <w:szCs w:val="18"/>
              </w:rPr>
              <w:t xml:space="preserve">T</w:t>
            </w:r>
            <w:r>
              <w:rPr>
                <w:sz w:val="18"/>
                <w:szCs w:val="18"/>
                <w:vertAlign w:val="subscript"/>
              </w:rPr>
              <w:t xml:space="preserve">0</w:t>
            </w:r>
          </w:p>
        </w:tc>
        <w:tc>
          <w:tcPr>
            <w:tcW w:w="1275"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0.001</w:t>
            </w:r>
          </w:p>
        </w:tc>
        <w:tc>
          <w:tcPr>
            <w:tcW w:w="1275"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0.001</w:t>
            </w:r>
          </w:p>
        </w:tc>
        <w:tc>
          <w:tcPr>
            <w:tcW w:w="1275"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0.001</w:t>
            </w:r>
          </w:p>
        </w:tc>
        <w:tc>
          <w:tcPr>
            <w:tcW w:w="1275"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0.001</w:t>
            </w:r>
          </w:p>
        </w:tc>
      </w:tr>
    </w:tbl>
    <w:p>
      <w:pPr>
        <w:pStyle w:val="p1a"/>
        <w:spacing w:before="240"/>
      </w:pPr>
      <w:r>
        <w:t xml:space="preserve">Se observan tres patrones. Primero, HC, SAHC y SA eligieron el mismo tamaño de paso, </w:t>
      </w:r>
      <w:r>
        <w:rPr>
          <w:i/>
          <w:iCs/>
        </w:rPr>
        <w:t xml:space="preserve">r</w:t>
      </w:r>
      <w:r>
        <w:t xml:space="preserve"> = 0.01, y perturbaciones de una o dos componentes (</w:t>
      </w:r>
      <w:r>
        <w:rPr>
          <w:i/>
          <w:iCs/>
        </w:rPr>
        <w:t xml:space="preserve">k</w:t>
      </w:r>
      <w:r>
        <w:t xml:space="preserve"> ≤ 2) en todas las dimensiones: en la esfera conviene dar pasos pequeños sobre pocas coordenadas, porque cada coordenada mejora casi de forma independiente (la función es separable). Con </w:t>
      </w:r>
      <w:r>
        <w:rPr>
          <w:i/>
          <w:iCs/>
        </w:rPr>
        <w:t xml:space="preserve">r</w:t>
      </w:r>
      <w:r>
        <w:t xml:space="preserve"> = 0.1, HC no resolvió ninguna ejecución piloto en </w:t>
      </w:r>
      <w:r>
        <w:rPr>
          <w:i/>
          <w:iCs/>
        </w:rPr>
        <w:t xml:space="preserve">D</w:t>
      </w:r>
      <w:r>
        <w:t xml:space="preserve"> = 100 (mediana de 1.57×10</w:t>
      </w:r>
      <w:r>
        <w:rPr>
          <w:vertAlign w:val="superscript"/>
        </w:rPr>
        <w:t xml:space="preserve">−7</w:t>
      </w:r>
      <w:r>
        <w:t xml:space="preserve">). Segundo, SAHC prefirió pocos vecinos (</w:t>
      </w:r>
      <w:r>
        <w:rPr>
          <w:i/>
          <w:iCs/>
        </w:rPr>
        <w:t xml:space="preserve">n</w:t>
      </w:r>
      <w:r>
        <w:t xml:space="preserve"> = 2 a 5): con presupuesto fijo, cada vecino adicional se paga con evaluaciones que ya no se usan en nuevas iteraciones; con </w:t>
      </w:r>
      <w:r>
        <w:rPr>
          <w:i/>
          <w:iCs/>
        </w:rPr>
        <w:t xml:space="preserve">n</w:t>
      </w:r>
      <w:r>
        <w:t xml:space="preserve"> = 20 no resolvió ninguna ejecución piloto en </w:t>
      </w:r>
      <w:r>
        <w:rPr>
          <w:i/>
          <w:iCs/>
        </w:rPr>
        <w:t xml:space="preserve">D</w:t>
      </w:r>
      <w:r>
        <w:t xml:space="preserve"> = 100. Tercero, SAHC-R necesitó lo contrario, </w:t>
      </w:r>
      <w:r>
        <w:rPr>
          <w:i/>
          <w:iCs/>
        </w:rPr>
        <w:t xml:space="preserve">r</w:t>
      </w:r>
      <w:r>
        <w:t xml:space="preserve"> = 0.1 y </w:t>
      </w:r>
      <w:r>
        <w:rPr>
          <w:i/>
          <w:iCs/>
        </w:rPr>
        <w:t xml:space="preserve">n</w:t>
      </w:r>
      <w:r>
        <w:t xml:space="preserve"> = 20 a 50, porque al moverse siempre requiere que el mejor de muchos vecinos sea casi siempre una mejora; con </w:t>
      </w:r>
      <w:r>
        <w:rPr>
          <w:i/>
          <w:iCs/>
        </w:rPr>
        <w:t xml:space="preserve">r</w:t>
      </w:r>
      <w:r>
        <w:t xml:space="preserve"> = 0.01 su mejor mediana en </w:t>
      </w:r>
      <w:r>
        <w:rPr>
          <w:i/>
          <w:iCs/>
        </w:rPr>
        <w:t xml:space="preserve">D</w:t>
      </w:r>
      <w:r>
        <w:t xml:space="preserve"> = 100 fue 6.58×10</w:t>
      </w:r>
      <w:r>
        <w:rPr>
          <w:vertAlign w:val="superscript"/>
        </w:rPr>
        <w:t xml:space="preserve">−7</w:t>
      </w:r>
      <w:r>
        <w:t xml:space="preserve">, frente a 2.02×10</w:t>
      </w:r>
      <w:r>
        <w:rPr>
          <w:vertAlign w:val="superscript"/>
        </w:rPr>
        <w:t xml:space="preserve">−7</w:t>
      </w:r>
      <w:r>
        <w:t xml:space="preserve"> con </w:t>
      </w:r>
      <w:r>
        <w:rPr>
          <w:i/>
          <w:iCs/>
        </w:rPr>
        <w:t xml:space="preserve">r</w:t>
      </w:r>
      <w:r>
        <w:t xml:space="preserve"> = 0.1. Por último, la mejor temperatura inicial de SA fue la menor de la rejilla, </w:t>
      </w:r>
      <w:r>
        <w:rPr>
          <w:i/>
          <w:iCs/>
        </w:rPr>
        <w:t xml:space="preserve">T</w:t>
      </w:r>
      <w:r>
        <w:rPr>
          <w:vertAlign w:val="subscript"/>
        </w:rPr>
        <w:t xml:space="preserve">0</w:t>
      </w:r>
      <w:r>
        <w:t xml:space="preserve"> = 0.001; en </w:t>
      </w:r>
      <w:r>
        <w:rPr>
          <w:i/>
          <w:iCs/>
        </w:rPr>
        <w:t xml:space="preserve">D</w:t>
      </w:r>
      <w:r>
        <w:t xml:space="preserve"> = 100 la mediana empeoró de 3.37×10</w:t>
      </w:r>
      <w:r>
        <w:rPr>
          <w:vertAlign w:val="superscript"/>
        </w:rPr>
        <w:t xml:space="preserve">−8</w:t>
      </w:r>
      <w:r>
        <w:t xml:space="preserve"> con </w:t>
      </w:r>
      <w:r>
        <w:rPr>
          <w:i/>
          <w:iCs/>
        </w:rPr>
        <w:t xml:space="preserve">T</w:t>
      </w:r>
      <w:r>
        <w:rPr>
          <w:vertAlign w:val="subscript"/>
        </w:rPr>
        <w:t xml:space="preserve">0</w:t>
      </w:r>
      <w:r>
        <w:t xml:space="preserve"> = 0.001 a 4.86×10</w:t>
      </w:r>
      <w:r>
        <w:rPr>
          <w:vertAlign w:val="superscript"/>
        </w:rPr>
        <w:t xml:space="preserve">−8</w:t>
      </w:r>
      <w:r>
        <w:t xml:space="preserve"> con </w:t>
      </w:r>
      <w:r>
        <w:rPr>
          <w:i/>
          <w:iCs/>
        </w:rPr>
        <w:t xml:space="preserve">T</w:t>
      </w:r>
      <w:r>
        <w:rPr>
          <w:vertAlign w:val="subscript"/>
        </w:rPr>
        <w:t xml:space="preserve">0</w:t>
      </w:r>
      <w:r>
        <w:t xml:space="preserve"> = 10. En una función unimodal, aceptar soluciones peores no aporta y SA funciona mejor cuanto más se parece a HC.</w:t>
      </w:r>
    </w:p>
    <w:p>
      <w:pPr>
        <w:pStyle w:val="heading2"/>
      </w:pPr>
      <w:r>
        <w:t xml:space="preserve">Medidas de desempeño y entorno</w:t>
      </w:r>
    </w:p>
    <w:p>
      <w:pPr>
        <w:pStyle w:val="p1a"/>
      </w:pPr>
      <w:r>
        <w:t xml:space="preserve">Para cada algoritmo y dimensión se reportan, sobre las 30 ejecuciones, el mejor, el peor, la media, la mediana y la desviación estándar muestral (con divisor 29) del valor de </w:t>
      </w:r>
      <w:r>
        <w:rPr>
          <w:i/>
          <w:iCs/>
        </w:rPr>
        <w:t xml:space="preserve">f</w:t>
      </w:r>
      <w:r>
        <w:t xml:space="preserve"> de la mejor solución encontrada; el tiempo de CPU por ejecución y el número de evaluaciones de la función objetivo, ambos como media ± desviación estándar; y el número de ejecuciones exitosas. Los algoritmos y las estadísticas se implementaron desde cero en C++17, sin bibliotecas de optimización, y se compilaron con Apple clang 17 (-O2). Las ejecuciones finales se corrieron una tras otra en un Apple M2 con macOS; el tiempo se midió con std::clock, que cuenta sólo el tiempo de CPU del proceso y no lo afecta que el sistema operativo atienda otros programas. El código fuente y los resultados completos en CSV acompañan este documento.</w:t>
      </w:r>
    </w:p>
    <w:p>
      <w:pPr>
        <w:pStyle w:val="heading1"/>
      </w:pPr>
      <w:r>
        <w:t xml:space="preserve">Resultados</w:t>
      </w:r>
    </w:p>
    <w:p>
      <w:pPr>
        <w:pStyle w:val="p1a"/>
      </w:pPr>
      <w:r>
        <w:t xml:space="preserve">Las Tablas 2 a 5 presentan los resultados para cada dimensión. Un valor de </w:t>
      </w:r>
      <w:r>
        <w:rPr>
          <w:i/>
          <w:iCs/>
        </w:rPr>
        <w:t xml:space="preserve">f</w:t>
      </w:r>
      <w:r>
        <w:t xml:space="preserve"> menor que 10</w:t>
      </w:r>
      <w:r>
        <w:rPr>
          <w:vertAlign w:val="superscript"/>
        </w:rPr>
        <w:t xml:space="preserve">−8</w:t>
      </w:r>
      <w:r>
        <w:t xml:space="preserve"> indica que la ejecución alcanzó el umbral y se detuvo. Por eso, entre los algoritmos que siempre lo alcanzan, las diferencias en las filas de </w:t>
      </w:r>
      <w:r>
        <w:rPr>
          <w:i/>
          <w:iCs/>
        </w:rPr>
        <w:t xml:space="preserve">f</w:t>
      </w:r>
      <w:r>
        <w:t xml:space="preserve"> no indican mayor precisión, sino dónde cayó la última mejora al cruzar el umbral; la comparación relevante entre ellos está en las evaluaciones y el tiempo.</w:t>
      </w:r>
    </w:p>
    <w:p>
      <w:pPr>
        <w:pStyle w:val="tablecaption"/>
        <w:jc w:val="both"/>
      </w:pPr>
      <w:r>
        <w:rPr>
          <w:b/>
          <w:bCs/>
        </w:rPr>
        <w:t xml:space="preserve">Tabla </w:t>
      </w:r>
      <w:r>
        <w:rPr>
          <w:b/>
          <w:bCs/>
        </w:rPr>
        <w:t xml:space="preserve">2</w:t>
      </w:r>
      <w:r>
        <w:rPr>
          <w:b/>
          <w:bCs/>
        </w:rPr>
        <w:t xml:space="preserve">.</w:t>
      </w:r>
      <w:r>
        <w:t xml:space="preserve"> </w:t>
      </w:r>
      <w:r>
        <w:t xml:space="preserve">Resultados de 30 ejecuciones con </w:t>
      </w:r>
      <w:r>
        <w:rPr>
          <w:i/>
          <w:iCs/>
        </w:rPr>
        <w:t xml:space="preserve">D</w:t>
      </w:r>
      <w:r>
        <w:t xml:space="preserve"> = 10 (presupuesto: 100,000 evaluaciones). Las filas de Mejor a Desviación Estándar se refieren al valor de </w:t>
      </w:r>
      <w:r>
        <w:rPr>
          <w:i/>
          <w:iCs/>
        </w:rPr>
        <w:t xml:space="preserve">f</w:t>
      </w:r>
      <w:r>
        <w:t xml:space="preserve"> de la mejor solución; el tiempo de CPU y las evaluaciones se dan como media ± desviación estándar. Una ejecución es exitosa si alcanza </w:t>
      </w:r>
      <w:r>
        <w:rPr>
          <w:i/>
          <w:iCs/>
        </w:rPr>
        <w:t xml:space="preserve">f</w:t>
      </w:r>
      <w:r>
        <w:t xml:space="preserve"> ≤ 10</w:t>
      </w:r>
      <w:r>
        <w:rPr>
          <w:vertAlign w:val="superscript"/>
        </w:rPr>
        <w:t xml:space="preserve">−8</w:t>
      </w:r>
      <w:r>
        <w:t xml:space="preserve">.</w:t>
      </w:r>
    </w:p>
    <w:tbl>
      <w:tblPr>
        <w:tblW w:w="8504" w:type="dxa"/>
        <w:jc w:val="center"/>
        <w:tblLayout w:type="fixed"/>
        <w:tblCellMar>
          <w:left w:w="70" w:type="dxa"/>
          <w:right w:w="70" w:type="dxa"/>
        </w:tblCellMar>
        <w:tblLook w:val="0000" w:firstRow="0" w:lastRow="0" w:firstColumn="0" w:lastColumn="0" w:noHBand="0" w:noVBand="0"/>
      </w:tblPr>
      <w:tblGrid>
        <w:gridCol w:w="1904"/>
        <w:gridCol w:w="1650"/>
        <w:gridCol w:w="1650"/>
        <w:gridCol w:w="1650"/>
        <w:gridCol w:w="1650"/>
      </w:tblGrid>
      <w:tr>
        <w:trPr>
          <w:cantSplit/>
          <w:jc w:val="center"/>
          <w:tblHeader/>
        </w:trPr>
        <w:tc>
          <w:tcPr>
            <w:tcW w:w="1904" w:type="dxa"/>
            <w:tcBorders>
              <w:top w:val="single" w:sz="12" w:space="0" w:color="000000"/>
              <w:bottom w:val="single" w:sz="6" w:space="0" w:color="000000"/>
            </w:tcBorders>
            <w:vAlign w:val="center"/>
          </w:tcPr>
          <w:p>
            <w:pPr>
              <w:keepNext/>
              <w:spacing w:before="20" w:after="20" w:line="220" w:lineRule="atLeast"/>
              <w:ind w:firstLine="0"/>
              <w:jc w:val="left"/>
              <w:rPr>
                <w:sz w:val="18"/>
                <w:szCs w:val="18"/>
              </w:rPr>
            </w:pP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 Steepest Ascent</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 Steepest Ascent with Replacement</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Simulated Annealing</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Mejor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3.60×10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4.79×10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5.81×10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6.13×10</w:t>
            </w:r>
            <w:r>
              <w:rPr>
                <w:sz w:val="18"/>
                <w:szCs w:val="18"/>
                <w:vertAlign w:val="superscript"/>
              </w:rPr>
              <w:t xml:space="preserve">−9</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Peor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9.76×10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1.00×10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4.97×10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9.97×10</w:t>
            </w:r>
            <w:r>
              <w:rPr>
                <w:sz w:val="18"/>
                <w:szCs w:val="18"/>
                <w:vertAlign w:val="superscript"/>
              </w:rPr>
              <w:t xml:space="preserve">−9</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Media</w:t>
            </w:r>
          </w:p>
        </w:tc>
        <w:tc>
          <w:tcPr>
            <w:tcW w:w="1650" w:type="dxa"/>
            <w:tcBorders/>
            <w:vAlign w:val="center"/>
          </w:tcPr>
          <w:p>
            <w:pPr>
              <w:keepNext/>
              <w:spacing w:before="20" w:after="20" w:line="220" w:lineRule="atLeast"/>
              <w:ind w:firstLine="0"/>
              <w:jc w:val="center"/>
              <w:rPr>
                <w:sz w:val="18"/>
                <w:szCs w:val="18"/>
              </w:rPr>
            </w:pPr>
            <w:r>
              <w:rPr>
                <w:sz w:val="18"/>
                <w:szCs w:val="18"/>
              </w:rPr>
              <w:t xml:space="preserve">7.74×10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8.01×10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1.93×10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8.72×10</w:t>
            </w:r>
            <w:r>
              <w:rPr>
                <w:sz w:val="18"/>
                <w:szCs w:val="18"/>
                <w:vertAlign w:val="superscript"/>
              </w:rPr>
              <w:t xml:space="preserve">−9</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Mediana</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8.19×10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8.21×10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1.49×10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8.73×10</w:t>
            </w:r>
            <w:r>
              <w:rPr>
                <w:sz w:val="18"/>
                <w:szCs w:val="18"/>
                <w:vertAlign w:val="superscript"/>
              </w:rPr>
              <w:t xml:space="preserve">−9</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Desviación Estándar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1.69×10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1.49×10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1.25×10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1.01×10</w:t>
            </w:r>
            <w:r>
              <w:rPr>
                <w:sz w:val="18"/>
                <w:szCs w:val="18"/>
                <w:vertAlign w:val="superscript"/>
              </w:rPr>
              <w:t xml:space="preserve">−9</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Tiempo de ejecución (ms)</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5.7 ± 0.7</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5.8 ± 0.8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10.4 ± 0.9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9.2 ± 0.7</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Número de evaluaciones de la función objetivo</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36,454 ± 5,029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37,704 ± 4,768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95,958 ± 7,913</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82,936 ± 4,828</w:t>
            </w:r>
          </w:p>
        </w:tc>
      </w:tr>
      <w:tr>
        <w:trPr>
          <w:cantSplit/>
          <w:jc w:val="center"/>
        </w:trPr>
        <w:tc>
          <w:tcPr>
            <w:tcW w:w="1904" w:type="dxa"/>
            <w:tcBorders>
              <w:bottom w:val="single" w:sz="12" w:space="0" w:color="000000"/>
            </w:tcBorders>
            <w:vAlign w:val="center"/>
          </w:tcPr>
          <w:p>
            <w:pPr>
              <w:spacing w:before="20" w:after="20" w:line="220" w:lineRule="atLeast"/>
              <w:ind w:firstLine="0"/>
              <w:jc w:val="left"/>
              <w:rPr>
                <w:sz w:val="18"/>
                <w:szCs w:val="18"/>
              </w:rPr>
            </w:pPr>
            <w:r>
              <w:rPr>
                <w:sz w:val="18"/>
                <w:szCs w:val="18"/>
              </w:rPr>
              <w:t xml:space="preserve">Ejecuciones exitosas</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30/30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30/30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9/30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30/30</w:t>
            </w:r>
          </w:p>
        </w:tc>
      </w:tr>
    </w:tbl>
    <w:p>
      <w:pPr>
        <w:pStyle w:val="tablecaption"/>
        <w:jc w:val="both"/>
      </w:pPr>
      <w:r>
        <w:rPr>
          <w:b/>
          <w:bCs/>
        </w:rPr>
        <w:t xml:space="preserve">Tabla </w:t>
      </w:r>
      <w:r>
        <w:rPr>
          <w:b/>
          <w:bCs/>
        </w:rPr>
        <w:t xml:space="preserve">3</w:t>
      </w:r>
      <w:r>
        <w:rPr>
          <w:b/>
          <w:bCs/>
        </w:rPr>
        <w:t xml:space="preserve">.</w:t>
      </w:r>
      <w:r>
        <w:t xml:space="preserve"> </w:t>
      </w:r>
      <w:r>
        <w:t xml:space="preserve">Resultados de 30 ejecuciones con </w:t>
      </w:r>
      <w:r>
        <w:rPr>
          <w:i/>
          <w:iCs/>
        </w:rPr>
        <w:t xml:space="preserve">D</w:t>
      </w:r>
      <w:r>
        <w:t xml:space="preserve"> = 30 (presupuesto: 300,000 evaluaciones). Las filas de Mejor a Desviación Estándar se refieren al valor de </w:t>
      </w:r>
      <w:r>
        <w:rPr>
          <w:i/>
          <w:iCs/>
        </w:rPr>
        <w:t xml:space="preserve">f</w:t>
      </w:r>
      <w:r>
        <w:t xml:space="preserve"> de la mejor solución; el tiempo de CPU y las evaluaciones se dan como media ± desviación estándar. Una ejecución es exitosa si alcanza </w:t>
      </w:r>
      <w:r>
        <w:rPr>
          <w:i/>
          <w:iCs/>
        </w:rPr>
        <w:t xml:space="preserve">f</w:t>
      </w:r>
      <w:r>
        <w:t xml:space="preserve"> ≤ 10</w:t>
      </w:r>
      <w:r>
        <w:rPr>
          <w:vertAlign w:val="superscript"/>
        </w:rPr>
        <w:t xml:space="preserve">−8</w:t>
      </w:r>
      <w:r>
        <w:t xml:space="preserve">.</w:t>
      </w:r>
    </w:p>
    <w:tbl>
      <w:tblPr>
        <w:tblW w:w="8504" w:type="dxa"/>
        <w:jc w:val="center"/>
        <w:tblLayout w:type="fixed"/>
        <w:tblCellMar>
          <w:left w:w="70" w:type="dxa"/>
          <w:right w:w="70" w:type="dxa"/>
        </w:tblCellMar>
        <w:tblLook w:val="0000" w:firstRow="0" w:lastRow="0" w:firstColumn="0" w:lastColumn="0" w:noHBand="0" w:noVBand="0"/>
      </w:tblPr>
      <w:tblGrid>
        <w:gridCol w:w="1904"/>
        <w:gridCol w:w="1650"/>
        <w:gridCol w:w="1650"/>
        <w:gridCol w:w="1650"/>
        <w:gridCol w:w="1650"/>
      </w:tblGrid>
      <w:tr>
        <w:trPr>
          <w:cantSplit/>
          <w:jc w:val="center"/>
          <w:tblHeader/>
        </w:trPr>
        <w:tc>
          <w:tcPr>
            <w:tcW w:w="1904" w:type="dxa"/>
            <w:tcBorders>
              <w:top w:val="single" w:sz="12" w:space="0" w:color="000000"/>
              <w:bottom w:val="single" w:sz="6" w:space="0" w:color="000000"/>
            </w:tcBorders>
            <w:vAlign w:val="center"/>
          </w:tcPr>
          <w:p>
            <w:pPr>
              <w:keepNext/>
              <w:spacing w:before="20" w:after="20" w:line="220" w:lineRule="atLeast"/>
              <w:ind w:firstLine="0"/>
              <w:jc w:val="left"/>
              <w:rPr>
                <w:sz w:val="18"/>
                <w:szCs w:val="18"/>
              </w:rPr>
            </w:pP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 Steepest Ascent</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 Steepest Ascent with Replacement</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Simulated Annealing</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Mejor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3.18×10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5.29×10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1.73×10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7.93×10</w:t>
            </w:r>
            <w:r>
              <w:rPr>
                <w:sz w:val="18"/>
                <w:szCs w:val="18"/>
                <w:vertAlign w:val="superscript"/>
              </w:rPr>
              <w:t xml:space="preserve">−9</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Peor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9.95×10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9.90×10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1.23×10</w:t>
            </w:r>
            <w:r>
              <w:rPr>
                <w:sz w:val="18"/>
                <w:szCs w:val="18"/>
                <w:vertAlign w:val="superscript"/>
              </w:rPr>
              <w:t xml:space="preserve">−7</w:t>
            </w:r>
          </w:p>
        </w:tc>
        <w:tc>
          <w:tcPr>
            <w:tcW w:w="1650" w:type="dxa"/>
            <w:tcBorders/>
            <w:vAlign w:val="center"/>
          </w:tcPr>
          <w:p>
            <w:pPr>
              <w:keepNext/>
              <w:spacing w:before="20" w:after="20" w:line="220" w:lineRule="atLeast"/>
              <w:ind w:firstLine="0"/>
              <w:jc w:val="center"/>
              <w:rPr>
                <w:sz w:val="18"/>
                <w:szCs w:val="18"/>
              </w:rPr>
            </w:pPr>
            <w:r>
              <w:rPr>
                <w:sz w:val="18"/>
                <w:szCs w:val="18"/>
              </w:rPr>
              <w:t xml:space="preserve">2.08×10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Media</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8.85×10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8.60×10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6.69×10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1.14×10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Mediana</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9.33×10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8.90×10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6.34×10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1.00×10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Desviación Estándar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1.39×10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1.21×10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2.79×10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2.91×10</w:t>
            </w:r>
            <w:r>
              <w:rPr>
                <w:sz w:val="18"/>
                <w:szCs w:val="18"/>
                <w:vertAlign w:val="superscript"/>
              </w:rPr>
              <w:t xml:space="preserve">−9</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Tiempo de ejecución (ms)</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39.5 ± 5.4</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52.5 ± 6.1</w:t>
            </w:r>
          </w:p>
        </w:tc>
        <w:tc>
          <w:tcPr>
            <w:tcW w:w="1650" w:type="dxa"/>
            <w:tcBorders/>
            <w:vAlign w:val="center"/>
          </w:tcPr>
          <w:p>
            <w:pPr>
              <w:keepNext/>
              <w:spacing w:before="20" w:after="20" w:line="220" w:lineRule="atLeast"/>
              <w:ind w:firstLine="0"/>
              <w:jc w:val="center"/>
              <w:rPr>
                <w:sz w:val="18"/>
                <w:szCs w:val="18"/>
              </w:rPr>
            </w:pPr>
            <w:r>
              <w:rPr>
                <w:sz w:val="18"/>
                <w:szCs w:val="18"/>
              </w:rPr>
              <w:t xml:space="preserve">72.9 ± 6.7</w:t>
            </w:r>
          </w:p>
        </w:tc>
        <w:tc>
          <w:tcPr>
            <w:tcW w:w="1650" w:type="dxa"/>
            <w:tcBorders/>
            <w:vAlign w:val="center"/>
          </w:tcPr>
          <w:p>
            <w:pPr>
              <w:keepNext/>
              <w:spacing w:before="20" w:after="20" w:line="220" w:lineRule="atLeast"/>
              <w:ind w:firstLine="0"/>
              <w:jc w:val="center"/>
              <w:rPr>
                <w:sz w:val="18"/>
                <w:szCs w:val="18"/>
              </w:rPr>
            </w:pPr>
            <w:r>
              <w:rPr>
                <w:sz w:val="18"/>
                <w:szCs w:val="18"/>
              </w:rPr>
              <w:t xml:space="preserve">75.2 ± 3.3</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Número de evaluaciones de la función objetivo</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151,255 ± 19,490</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178,258 ± 12,705</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300,000 ± 0</w:t>
            </w:r>
          </w:p>
        </w:tc>
        <w:tc>
          <w:tcPr>
            <w:tcW w:w="1650" w:type="dxa"/>
            <w:tcBorders/>
            <w:vAlign w:val="center"/>
          </w:tcPr>
          <w:p>
            <w:pPr>
              <w:keepNext/>
              <w:spacing w:before="20" w:after="20" w:line="220" w:lineRule="atLeast"/>
              <w:ind w:firstLine="0"/>
              <w:jc w:val="center"/>
              <w:rPr>
                <w:sz w:val="18"/>
                <w:szCs w:val="18"/>
              </w:rPr>
            </w:pPr>
            <w:r>
              <w:rPr>
                <w:sz w:val="18"/>
                <w:szCs w:val="18"/>
              </w:rPr>
              <w:t xml:space="preserve">296,577 ± 5,475</w:t>
            </w:r>
          </w:p>
        </w:tc>
      </w:tr>
      <w:tr>
        <w:trPr>
          <w:cantSplit/>
          <w:jc w:val="center"/>
        </w:trPr>
        <w:tc>
          <w:tcPr>
            <w:tcW w:w="1904" w:type="dxa"/>
            <w:tcBorders>
              <w:bottom w:val="single" w:sz="12" w:space="0" w:color="000000"/>
            </w:tcBorders>
            <w:vAlign w:val="center"/>
          </w:tcPr>
          <w:p>
            <w:pPr>
              <w:spacing w:before="20" w:after="20" w:line="220" w:lineRule="atLeast"/>
              <w:ind w:firstLine="0"/>
              <w:jc w:val="left"/>
              <w:rPr>
                <w:sz w:val="18"/>
                <w:szCs w:val="18"/>
              </w:rPr>
            </w:pPr>
            <w:r>
              <w:rPr>
                <w:sz w:val="18"/>
                <w:szCs w:val="18"/>
              </w:rPr>
              <w:t xml:space="preserve">Ejecuciones exitosas</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30/30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30/30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15/30</w:t>
            </w:r>
          </w:p>
        </w:tc>
      </w:tr>
    </w:tbl>
    <w:p>
      <w:pPr>
        <w:pStyle w:val="tablecaption"/>
        <w:jc w:val="both"/>
      </w:pPr>
      <w:r>
        <w:rPr>
          <w:b/>
          <w:bCs/>
        </w:rPr>
        <w:t xml:space="preserve">Tabla </w:t>
      </w:r>
      <w:r>
        <w:rPr>
          <w:b/>
          <w:bCs/>
        </w:rPr>
        <w:t xml:space="preserve">4</w:t>
      </w:r>
      <w:r>
        <w:rPr>
          <w:b/>
          <w:bCs/>
        </w:rPr>
        <w:t xml:space="preserve">.</w:t>
      </w:r>
      <w:r>
        <w:t xml:space="preserve"> </w:t>
      </w:r>
      <w:r>
        <w:t xml:space="preserve">Resultados de 30 ejecuciones con </w:t>
      </w:r>
      <w:r>
        <w:rPr>
          <w:i/>
          <w:iCs/>
        </w:rPr>
        <w:t xml:space="preserve">D</w:t>
      </w:r>
      <w:r>
        <w:t xml:space="preserve"> = 50 (presupuesto: 500,000 evaluaciones). Las filas de Mejor a Desviación Estándar se refieren al valor de </w:t>
      </w:r>
      <w:r>
        <w:rPr>
          <w:i/>
          <w:iCs/>
        </w:rPr>
        <w:t xml:space="preserve">f</w:t>
      </w:r>
      <w:r>
        <w:t xml:space="preserve"> de la mejor solución; el tiempo de CPU y las evaluaciones se dan como media ± desviación estándar. Una ejecución es exitosa si alcanza </w:t>
      </w:r>
      <w:r>
        <w:rPr>
          <w:i/>
          <w:iCs/>
        </w:rPr>
        <w:t xml:space="preserve">f</w:t>
      </w:r>
      <w:r>
        <w:t xml:space="preserve"> ≤ 10</w:t>
      </w:r>
      <w:r>
        <w:rPr>
          <w:vertAlign w:val="superscript"/>
        </w:rPr>
        <w:t xml:space="preserve">−8</w:t>
      </w:r>
      <w:r>
        <w:t xml:space="preserve">.</w:t>
      </w:r>
    </w:p>
    <w:tbl>
      <w:tblPr>
        <w:tblW w:w="8504" w:type="dxa"/>
        <w:jc w:val="center"/>
        <w:tblLayout w:type="fixed"/>
        <w:tblCellMar>
          <w:left w:w="70" w:type="dxa"/>
          <w:right w:w="70" w:type="dxa"/>
        </w:tblCellMar>
        <w:tblLook w:val="0000" w:firstRow="0" w:lastRow="0" w:firstColumn="0" w:lastColumn="0" w:noHBand="0" w:noVBand="0"/>
      </w:tblPr>
      <w:tblGrid>
        <w:gridCol w:w="1904"/>
        <w:gridCol w:w="1650"/>
        <w:gridCol w:w="1650"/>
        <w:gridCol w:w="1650"/>
        <w:gridCol w:w="1650"/>
      </w:tblGrid>
      <w:tr>
        <w:trPr>
          <w:cantSplit/>
          <w:jc w:val="center"/>
          <w:tblHeader/>
        </w:trPr>
        <w:tc>
          <w:tcPr>
            <w:tcW w:w="1904" w:type="dxa"/>
            <w:tcBorders>
              <w:top w:val="single" w:sz="12" w:space="0" w:color="000000"/>
              <w:bottom w:val="single" w:sz="6" w:space="0" w:color="000000"/>
            </w:tcBorders>
            <w:vAlign w:val="center"/>
          </w:tcPr>
          <w:p>
            <w:pPr>
              <w:keepNext/>
              <w:spacing w:before="20" w:after="20" w:line="220" w:lineRule="atLeast"/>
              <w:ind w:firstLine="0"/>
              <w:jc w:val="left"/>
              <w:rPr>
                <w:sz w:val="18"/>
                <w:szCs w:val="18"/>
              </w:rPr>
            </w:pP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 Steepest Ascent</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 Steepest Ascent with Replacement</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Simulated Annealing</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Mejor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5.11×10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5.21×10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3.36×10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1.17×10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Peor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1.00×10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9.98×10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1.63×10</w:t>
            </w:r>
            <w:r>
              <w:rPr>
                <w:sz w:val="18"/>
                <w:szCs w:val="18"/>
                <w:vertAlign w:val="superscript"/>
              </w:rPr>
              <w:t xml:space="preserve">−7</w:t>
            </w:r>
          </w:p>
        </w:tc>
        <w:tc>
          <w:tcPr>
            <w:tcW w:w="1650" w:type="dxa"/>
            <w:tcBorders/>
            <w:vAlign w:val="center"/>
          </w:tcPr>
          <w:p>
            <w:pPr>
              <w:keepNext/>
              <w:spacing w:before="20" w:after="20" w:line="220" w:lineRule="atLeast"/>
              <w:ind w:firstLine="0"/>
              <w:jc w:val="center"/>
              <w:rPr>
                <w:sz w:val="18"/>
                <w:szCs w:val="18"/>
              </w:rPr>
            </w:pPr>
            <w:r>
              <w:rPr>
                <w:sz w:val="18"/>
                <w:szCs w:val="18"/>
              </w:rPr>
              <w:t xml:space="preserve">2.28×10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Media</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9.15×10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9.08×10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1.11×10</w:t>
            </w:r>
            <w:r>
              <w:rPr>
                <w:sz w:val="18"/>
                <w:szCs w:val="18"/>
                <w:vertAlign w:val="superscript"/>
              </w:rPr>
              <w:t xml:space="preserve">−7</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1.68×10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Mediana</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9.41×10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9.52×10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1.10×10</w:t>
            </w:r>
            <w:r>
              <w:rPr>
                <w:sz w:val="18"/>
                <w:szCs w:val="18"/>
                <w:vertAlign w:val="superscript"/>
              </w:rPr>
              <w:t xml:space="preserve">−7</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1.62×10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Desviación Estándar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1.10×10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1.15×10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3.01×10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3.41×10</w:t>
            </w:r>
            <w:r>
              <w:rPr>
                <w:sz w:val="18"/>
                <w:szCs w:val="18"/>
                <w:vertAlign w:val="superscript"/>
              </w:rPr>
              <w:t xml:space="preserve">−9</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Tiempo de ejecución (ms)</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115.8 ± 12.5</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125.3 ± 13.5</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186.6 ± 10.4</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193.4 ± 6.7</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Número de evaluaciones de la función objetivo</w:t>
            </w:r>
          </w:p>
        </w:tc>
        <w:tc>
          <w:tcPr>
            <w:tcW w:w="1650" w:type="dxa"/>
            <w:tcBorders/>
            <w:vAlign w:val="center"/>
          </w:tcPr>
          <w:p>
            <w:pPr>
              <w:keepNext/>
              <w:spacing w:before="20" w:after="20" w:line="220" w:lineRule="atLeast"/>
              <w:ind w:firstLine="0"/>
              <w:jc w:val="center"/>
              <w:rPr>
                <w:sz w:val="18"/>
                <w:szCs w:val="18"/>
              </w:rPr>
            </w:pPr>
            <w:r>
              <w:rPr>
                <w:sz w:val="18"/>
                <w:szCs w:val="18"/>
              </w:rPr>
              <w:t xml:space="preserve">292,321 ± 29,335</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311,808 ± 24,462</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500,000 ± 0</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500,000 ± 0</w:t>
            </w:r>
          </w:p>
        </w:tc>
      </w:tr>
      <w:tr>
        <w:trPr>
          <w:cantSplit/>
          <w:jc w:val="center"/>
        </w:trPr>
        <w:tc>
          <w:tcPr>
            <w:tcW w:w="1904" w:type="dxa"/>
            <w:tcBorders>
              <w:bottom w:val="single" w:sz="12" w:space="0" w:color="000000"/>
            </w:tcBorders>
            <w:vAlign w:val="center"/>
          </w:tcPr>
          <w:p>
            <w:pPr>
              <w:spacing w:before="20" w:after="20" w:line="220" w:lineRule="atLeast"/>
              <w:ind w:firstLine="0"/>
              <w:jc w:val="left"/>
              <w:rPr>
                <w:sz w:val="18"/>
                <w:szCs w:val="18"/>
              </w:rPr>
            </w:pPr>
            <w:r>
              <w:rPr>
                <w:sz w:val="18"/>
                <w:szCs w:val="18"/>
              </w:rPr>
              <w:t xml:space="preserve">Ejecuciones exitosas</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30/30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30/30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0/30</w:t>
            </w:r>
          </w:p>
        </w:tc>
      </w:tr>
    </w:tbl>
    <w:p>
      <w:pPr>
        <w:pStyle w:val="tablecaption"/>
        <w:jc w:val="both"/>
      </w:pPr>
      <w:r>
        <w:rPr>
          <w:b/>
          <w:bCs/>
        </w:rPr>
        <w:t xml:space="preserve">Tabla </w:t>
      </w:r>
      <w:r>
        <w:rPr>
          <w:b/>
          <w:bCs/>
        </w:rPr>
        <w:t xml:space="preserve">5</w:t>
      </w:r>
      <w:r>
        <w:rPr>
          <w:b/>
          <w:bCs/>
        </w:rPr>
        <w:t xml:space="preserve">.</w:t>
      </w:r>
      <w:r>
        <w:t xml:space="preserve"> </w:t>
      </w:r>
      <w:r>
        <w:t xml:space="preserve">Resultados de 30 ejecuciones con </w:t>
      </w:r>
      <w:r>
        <w:rPr>
          <w:i/>
          <w:iCs/>
        </w:rPr>
        <w:t xml:space="preserve">D</w:t>
      </w:r>
      <w:r>
        <w:t xml:space="preserve"> = 100 (presupuesto: 1,000,000 evaluaciones). Las filas de Mejor a Desviación Estándar se refieren al valor de </w:t>
      </w:r>
      <w:r>
        <w:rPr>
          <w:i/>
          <w:iCs/>
        </w:rPr>
        <w:t xml:space="preserve">f</w:t>
      </w:r>
      <w:r>
        <w:t xml:space="preserve"> de la mejor solución; el tiempo de CPU y las evaluaciones se dan como media ± desviación estándar. Una ejecución es exitosa si alcanza </w:t>
      </w:r>
      <w:r>
        <w:rPr>
          <w:i/>
          <w:iCs/>
        </w:rPr>
        <w:t xml:space="preserve">f</w:t>
      </w:r>
      <w:r>
        <w:t xml:space="preserve"> ≤ 10</w:t>
      </w:r>
      <w:r>
        <w:rPr>
          <w:vertAlign w:val="superscript"/>
        </w:rPr>
        <w:t xml:space="preserve">−8</w:t>
      </w:r>
      <w:r>
        <w:t xml:space="preserve">.</w:t>
      </w:r>
    </w:p>
    <w:tbl>
      <w:tblPr>
        <w:tblW w:w="8504" w:type="dxa"/>
        <w:jc w:val="center"/>
        <w:tblLayout w:type="fixed"/>
        <w:tblCellMar>
          <w:left w:w="70" w:type="dxa"/>
          <w:right w:w="70" w:type="dxa"/>
        </w:tblCellMar>
        <w:tblLook w:val="0000" w:firstRow="0" w:lastRow="0" w:firstColumn="0" w:lastColumn="0" w:noHBand="0" w:noVBand="0"/>
      </w:tblPr>
      <w:tblGrid>
        <w:gridCol w:w="1904"/>
        <w:gridCol w:w="1650"/>
        <w:gridCol w:w="1650"/>
        <w:gridCol w:w="1650"/>
        <w:gridCol w:w="1650"/>
      </w:tblGrid>
      <w:tr>
        <w:trPr>
          <w:cantSplit/>
          <w:jc w:val="center"/>
          <w:tblHeader/>
        </w:trPr>
        <w:tc>
          <w:tcPr>
            <w:tcW w:w="1904" w:type="dxa"/>
            <w:tcBorders>
              <w:top w:val="single" w:sz="12" w:space="0" w:color="000000"/>
              <w:bottom w:val="single" w:sz="6" w:space="0" w:color="000000"/>
            </w:tcBorders>
            <w:vAlign w:val="center"/>
          </w:tcPr>
          <w:p>
            <w:pPr>
              <w:keepNext/>
              <w:spacing w:before="20" w:after="20" w:line="220" w:lineRule="atLeast"/>
              <w:ind w:firstLine="0"/>
              <w:jc w:val="left"/>
              <w:rPr>
                <w:sz w:val="18"/>
                <w:szCs w:val="18"/>
              </w:rPr>
            </w:pP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 Steepest Ascent</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HillClimbing Steepest Ascent with Replacement</w:t>
            </w:r>
          </w:p>
        </w:tc>
        <w:tc>
          <w:tcPr>
            <w:tcW w:w="1650" w:type="dxa"/>
            <w:tcBorders>
              <w:top w:val="single" w:sz="12" w:space="0" w:color="000000"/>
              <w:bottom w:val="single" w:sz="6" w:space="0" w:color="000000"/>
            </w:tcBorders>
            <w:vAlign w:val="center"/>
          </w:tcPr>
          <w:p>
            <w:pPr>
              <w:keepNext/>
              <w:spacing w:before="20" w:after="20" w:line="220" w:lineRule="atLeast"/>
              <w:ind w:firstLine="0"/>
              <w:jc w:val="center"/>
              <w:rPr>
                <w:sz w:val="18"/>
                <w:szCs w:val="18"/>
              </w:rPr>
            </w:pPr>
            <w:r>
              <w:rPr>
                <w:sz w:val="18"/>
                <w:szCs w:val="18"/>
              </w:rPr>
              <w:t xml:space="preserve">Simulated Annealing</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Mejor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8.91×10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8.35×10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1.13×10</w:t>
            </w:r>
            <w:r>
              <w:rPr>
                <w:sz w:val="18"/>
                <w:szCs w:val="18"/>
                <w:vertAlign w:val="superscript"/>
              </w:rPr>
              <w:t xml:space="preserve">−7</w:t>
            </w:r>
          </w:p>
        </w:tc>
        <w:tc>
          <w:tcPr>
            <w:tcW w:w="1650" w:type="dxa"/>
            <w:tcBorders/>
            <w:vAlign w:val="center"/>
          </w:tcPr>
          <w:p>
            <w:pPr>
              <w:keepNext/>
              <w:spacing w:before="20" w:after="20" w:line="220" w:lineRule="atLeast"/>
              <w:ind w:firstLine="0"/>
              <w:jc w:val="center"/>
              <w:rPr>
                <w:sz w:val="18"/>
                <w:szCs w:val="18"/>
              </w:rPr>
            </w:pPr>
            <w:r>
              <w:rPr>
                <w:sz w:val="18"/>
                <w:szCs w:val="18"/>
              </w:rPr>
              <w:t xml:space="preserve">2.59×10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Peor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9.97×10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1.00×10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3.90×10</w:t>
            </w:r>
            <w:r>
              <w:rPr>
                <w:sz w:val="18"/>
                <w:szCs w:val="18"/>
                <w:vertAlign w:val="superscript"/>
              </w:rPr>
              <w:t xml:space="preserve">−7</w:t>
            </w:r>
          </w:p>
        </w:tc>
        <w:tc>
          <w:tcPr>
            <w:tcW w:w="1650" w:type="dxa"/>
            <w:tcBorders/>
            <w:vAlign w:val="center"/>
          </w:tcPr>
          <w:p>
            <w:pPr>
              <w:keepNext/>
              <w:spacing w:before="20" w:after="20" w:line="220" w:lineRule="atLeast"/>
              <w:ind w:firstLine="0"/>
              <w:jc w:val="center"/>
              <w:rPr>
                <w:sz w:val="18"/>
                <w:szCs w:val="18"/>
              </w:rPr>
            </w:pPr>
            <w:r>
              <w:rPr>
                <w:sz w:val="18"/>
                <w:szCs w:val="18"/>
              </w:rPr>
              <w:t xml:space="preserve">4.70×10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Media</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9.69×10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9.68×10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2.28×10</w:t>
            </w:r>
            <w:r>
              <w:rPr>
                <w:sz w:val="18"/>
                <w:szCs w:val="18"/>
                <w:vertAlign w:val="superscript"/>
              </w:rPr>
              <w:t xml:space="preserve">−7</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3.41×10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Mediana</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9.78×10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9.89×10</w:t>
            </w:r>
            <w:r>
              <w:rPr>
                <w:sz w:val="18"/>
                <w:szCs w:val="18"/>
                <w:vertAlign w:val="superscript"/>
              </w:rPr>
              <w:t xml:space="preserve">−9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2.11×10</w:t>
            </w:r>
            <w:r>
              <w:rPr>
                <w:sz w:val="18"/>
                <w:szCs w:val="18"/>
                <w:vertAlign w:val="superscript"/>
              </w:rPr>
              <w:t xml:space="preserve">−7</w:t>
            </w:r>
          </w:p>
        </w:tc>
        <w:tc>
          <w:tcPr>
            <w:tcW w:w="1650" w:type="dxa"/>
            <w:tcBorders/>
            <w:vAlign w:val="center"/>
          </w:tcPr>
          <w:p>
            <w:pPr>
              <w:keepNext/>
              <w:spacing w:before="20" w:after="20" w:line="220" w:lineRule="atLeast"/>
              <w:ind w:firstLine="0"/>
              <w:jc w:val="center"/>
              <w:rPr>
                <w:sz w:val="18"/>
                <w:szCs w:val="18"/>
              </w:rPr>
            </w:pPr>
            <w:r>
              <w:rPr>
                <w:sz w:val="18"/>
                <w:szCs w:val="18"/>
              </w:rPr>
              <w:t xml:space="preserve">3.30×10</w:t>
            </w:r>
            <w:r>
              <w:rPr>
                <w:sz w:val="18"/>
                <w:szCs w:val="18"/>
                <w:vertAlign w:val="superscript"/>
              </w:rPr>
              <w:t xml:space="preserve">−8</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Desviación Estándar</w:t>
            </w:r>
          </w:p>
        </w:tc>
        <w:tc>
          <w:tcPr>
            <w:tcW w:w="1650" w:type="dxa"/>
            <w:tcBorders/>
            <w:vAlign w:val="center"/>
          </w:tcPr>
          <w:p>
            <w:pPr>
              <w:keepNext/>
              <w:spacing w:before="20" w:after="20" w:line="220" w:lineRule="atLeast"/>
              <w:ind w:firstLine="0"/>
              <w:jc w:val="center"/>
              <w:rPr>
                <w:sz w:val="18"/>
                <w:szCs w:val="18"/>
              </w:rPr>
            </w:pPr>
            <w:r>
              <w:rPr>
                <w:sz w:val="18"/>
                <w:szCs w:val="18"/>
              </w:rPr>
              <w:t xml:space="preserve">2.99×10</w:t>
            </w:r>
            <w:r>
              <w:rPr>
                <w:sz w:val="18"/>
                <w:szCs w:val="18"/>
                <w:vertAlign w:val="superscript"/>
              </w:rPr>
              <w:t xml:space="preserve">−10</w:t>
            </w:r>
          </w:p>
        </w:tc>
        <w:tc>
          <w:tcPr>
            <w:tcW w:w="1650" w:type="dxa"/>
            <w:tcBorders/>
            <w:vAlign w:val="center"/>
          </w:tcPr>
          <w:p>
            <w:pPr>
              <w:keepNext/>
              <w:spacing w:before="20" w:after="20" w:line="220" w:lineRule="atLeast"/>
              <w:ind w:firstLine="0"/>
              <w:jc w:val="center"/>
              <w:rPr>
                <w:sz w:val="18"/>
                <w:szCs w:val="18"/>
              </w:rPr>
            </w:pPr>
            <w:r>
              <w:rPr>
                <w:sz w:val="18"/>
                <w:szCs w:val="18"/>
              </w:rPr>
              <w:t xml:space="preserve">4.02×10</w:t>
            </w:r>
            <w:r>
              <w:rPr>
                <w:sz w:val="18"/>
                <w:szCs w:val="18"/>
                <w:vertAlign w:val="superscript"/>
              </w:rPr>
              <w:t xml:space="preserve">−10</w:t>
            </w:r>
          </w:p>
        </w:tc>
        <w:tc>
          <w:tcPr>
            <w:tcW w:w="1650" w:type="dxa"/>
            <w:tcBorders/>
            <w:vAlign w:val="center"/>
          </w:tcPr>
          <w:p>
            <w:pPr>
              <w:keepNext/>
              <w:spacing w:before="20" w:after="20" w:line="220" w:lineRule="atLeast"/>
              <w:ind w:firstLine="0"/>
              <w:jc w:val="center"/>
              <w:rPr>
                <w:sz w:val="18"/>
                <w:szCs w:val="18"/>
              </w:rPr>
            </w:pPr>
            <w:r>
              <w:rPr>
                <w:sz w:val="18"/>
                <w:szCs w:val="18"/>
              </w:rPr>
              <w:t xml:space="preserve">6.88×10</w:t>
            </w:r>
            <w:r>
              <w:rPr>
                <w:sz w:val="18"/>
                <w:szCs w:val="18"/>
                <w:vertAlign w:val="superscript"/>
              </w:rPr>
              <w:t xml:space="preserve">−8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4.96×10</w:t>
            </w:r>
            <w:r>
              <w:rPr>
                <w:sz w:val="18"/>
                <w:szCs w:val="18"/>
                <w:vertAlign w:val="superscript"/>
              </w:rPr>
              <w:t xml:space="preserve">−9</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Tiempo de ejecución (ms)</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550.4 ± 32.9</w:t>
            </w:r>
          </w:p>
        </w:tc>
        <w:tc>
          <w:tcPr>
            <w:tcW w:w="1650" w:type="dxa"/>
            <w:tcBorders/>
            <w:vAlign w:val="center"/>
          </w:tcPr>
          <w:p>
            <w:pPr>
              <w:keepNext/>
              <w:spacing w:before="20" w:after="20" w:line="220" w:lineRule="atLeast"/>
              <w:ind w:firstLine="0"/>
              <w:jc w:val="center"/>
              <w:rPr>
                <w:sz w:val="18"/>
                <w:szCs w:val="18"/>
              </w:rPr>
            </w:pPr>
            <w:r>
              <w:rPr>
                <w:sz w:val="18"/>
                <w:szCs w:val="18"/>
              </w:rPr>
              <w:t xml:space="preserve">563.0 ± 48.8</w:t>
            </w:r>
          </w:p>
        </w:tc>
        <w:tc>
          <w:tcPr>
            <w:tcW w:w="1650" w:type="dxa"/>
            <w:tcBorders/>
            <w:vAlign w:val="center"/>
          </w:tcPr>
          <w:p>
            <w:pPr>
              <w:keepNext/>
              <w:spacing w:before="20" w:after="20" w:line="220" w:lineRule="atLeast"/>
              <w:ind w:firstLine="0"/>
              <w:jc w:val="center"/>
              <w:rPr>
                <w:sz w:val="18"/>
                <w:szCs w:val="18"/>
              </w:rPr>
            </w:pPr>
            <w:r>
              <w:rPr>
                <w:sz w:val="18"/>
                <w:szCs w:val="18"/>
              </w:rPr>
              <w:t xml:space="preserve">696.9 ± 32.5</w:t>
            </w:r>
          </w:p>
        </w:tc>
        <w:tc>
          <w:tcPr>
            <w:tcW w:w="1650" w:type="dxa"/>
            <w:tcBorders/>
            <w:vAlign w:val="center"/>
          </w:tcPr>
          <w:p>
            <w:pPr>
              <w:keepNext/>
              <w:spacing w:before="20" w:after="20" w:line="220" w:lineRule="atLeast"/>
              <w:ind w:firstLine="0"/>
              <w:jc w:val="center"/>
              <w:rPr>
                <w:sz w:val="18"/>
                <w:szCs w:val="18"/>
              </w:rPr>
            </w:pPr>
            <w:r>
              <w:rPr>
                <w:sz w:val="18"/>
                <w:szCs w:val="18"/>
              </w:rPr>
              <w:t xml:space="preserve">753.6 ± 27.1</w:t>
            </w:r>
          </w:p>
        </w:tc>
      </w:tr>
      <w:tr>
        <w:trPr>
          <w:cantSplit/>
          <w:jc w:val="center"/>
        </w:trPr>
        <w:tc>
          <w:tcPr>
            <w:tcW w:w="1904" w:type="dxa"/>
            <w:tcBorders/>
            <w:vAlign w:val="center"/>
          </w:tcPr>
          <w:p>
            <w:pPr>
              <w:keepNext/>
              <w:spacing w:before="20" w:after="20" w:line="220" w:lineRule="atLeast"/>
              <w:ind w:firstLine="0"/>
              <w:jc w:val="left"/>
              <w:rPr>
                <w:sz w:val="18"/>
                <w:szCs w:val="18"/>
              </w:rPr>
            </w:pPr>
            <w:r>
              <w:rPr>
                <w:sz w:val="18"/>
                <w:szCs w:val="18"/>
              </w:rPr>
              <w:t xml:space="preserve">Número de evaluaciones de la función objetivo</w:t>
            </w:r>
          </w:p>
        </w:tc>
        <w:tc>
          <w:tcPr>
            <w:tcW w:w="1650" w:type="dxa"/>
            <w:tcBorders/>
            <w:vAlign w:val="center"/>
          </w:tcPr>
          <w:p>
            <w:pPr>
              <w:keepNext/>
              <w:spacing w:before="20" w:after="20" w:line="220" w:lineRule="atLeast"/>
              <w:ind w:firstLine="0"/>
              <w:jc w:val="center"/>
              <w:rPr>
                <w:sz w:val="18"/>
                <w:szCs w:val="18"/>
              </w:rPr>
            </w:pPr>
            <w:r>
              <w:rPr>
                <w:sz w:val="18"/>
                <w:szCs w:val="18"/>
              </w:rPr>
              <w:t xml:space="preserve">801,472 ± 47,596</w:t>
            </w:r>
          </w:p>
        </w:tc>
        <w:tc>
          <w:tcPr>
            <w:tcW w:w="1650" w:type="dxa"/>
            <w:tcBorders/>
            <w:vAlign w:val="center"/>
          </w:tcPr>
          <w:p>
            <w:pPr>
              <w:keepNext/>
              <w:spacing w:before="20" w:after="20" w:line="220" w:lineRule="atLeast"/>
              <w:ind w:firstLine="0"/>
              <w:jc w:val="center"/>
              <w:rPr>
                <w:sz w:val="18"/>
                <w:szCs w:val="18"/>
              </w:rPr>
            </w:pPr>
            <w:r>
              <w:rPr>
                <w:sz w:val="18"/>
                <w:szCs w:val="18"/>
              </w:rPr>
              <w:t xml:space="preserve">772,049 ± 60,012</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1,000,000 ± 0</w:t>
            </w:r>
          </w:p>
        </w:tc>
        <w:tc>
          <w:tcPr>
            <w:tcW w:w="1650" w:type="dxa"/>
            <w:tcBorders/>
            <w:vAlign w:val="center"/>
          </w:tcPr>
          <w:p>
            <w:pPr>
              <w:keepNext/>
              <w:spacing w:before="20" w:after="20" w:line="220" w:lineRule="atLeast"/>
              <w:ind w:firstLine="0"/>
              <w:jc w:val="center"/>
              <w:rPr>
                <w:sz w:val="18"/>
                <w:szCs w:val="18"/>
              </w:rPr>
            </w:pPr>
            <w:r>
              <w:rPr>
                <w:sz w:val="18"/>
                <w:szCs w:val="18"/>
              </w:rPr>
              <w:t xml:space="preserve">1,000,000 ± 0</w:t>
            </w:r>
          </w:p>
        </w:tc>
      </w:tr>
      <w:tr>
        <w:trPr>
          <w:cantSplit/>
          <w:jc w:val="center"/>
        </w:trPr>
        <w:tc>
          <w:tcPr>
            <w:tcW w:w="1904" w:type="dxa"/>
            <w:tcBorders>
              <w:bottom w:val="single" w:sz="12" w:space="0" w:color="000000"/>
            </w:tcBorders>
            <w:vAlign w:val="center"/>
          </w:tcPr>
          <w:p>
            <w:pPr>
              <w:spacing w:before="20" w:after="20" w:line="220" w:lineRule="atLeast"/>
              <w:ind w:firstLine="0"/>
              <w:jc w:val="left"/>
              <w:rPr>
                <w:sz w:val="18"/>
                <w:szCs w:val="18"/>
              </w:rPr>
            </w:pPr>
            <w:r>
              <w:rPr>
                <w:sz w:val="18"/>
                <w:szCs w:val="18"/>
              </w:rPr>
              <w:t xml:space="preserve">Ejecuciones exitosas</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30/30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30/30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0/30</w:t>
            </w:r>
          </w:p>
        </w:tc>
        <w:tc>
          <w:tcPr>
            <w:tcW w:w="1650" w:type="dxa"/>
            <w:tcBorders>
              <w:bottom w:val="single" w:sz="12" w:space="0" w:color="000000"/>
            </w:tcBorders>
            <w:vAlign w:val="center"/>
          </w:tcPr>
          <w:p>
            <w:pPr>
              <w:spacing w:before="20" w:after="20" w:line="220" w:lineRule="atLeast"/>
              <w:ind w:firstLine="0"/>
              <w:jc w:val="center"/>
              <w:rPr>
                <w:sz w:val="18"/>
                <w:szCs w:val="18"/>
              </w:rPr>
            </w:pPr>
            <w:r>
              <w:rPr>
                <w:sz w:val="18"/>
                <w:szCs w:val="18"/>
              </w:rPr>
              <w:t xml:space="preserve">0/30</w:t>
            </w:r>
          </w:p>
        </w:tc>
      </w:tr>
    </w:tbl>
    <w:p>
      <w:pPr>
        <w:pStyle w:val="p1a"/>
        <w:spacing w:before="240"/>
      </w:pPr>
      <w:r>
        <w:t xml:space="preserve">HC y SAHC alcanzaron el umbral en sus 120 ejecuciones (30 por dimensión). HC fue el que menos evaluaciones necesitó con </w:t>
      </w:r>
      <w:r>
        <w:rPr>
          <w:i/>
          <w:iCs/>
        </w:rPr>
        <w:t xml:space="preserve">D</w:t>
      </w:r>
      <w:r>
        <w:t xml:space="preserve"> = 10, 30 y 50 (36,454, 151,255 y 292,321 en promedio), mientras que con </w:t>
      </w:r>
      <w:r>
        <w:rPr>
          <w:i/>
          <w:iCs/>
        </w:rPr>
        <w:t xml:space="preserve">D</w:t>
      </w:r>
      <w:r>
        <w:t xml:space="preserve"> = 100 SAHC lo superó (772,049 frente a 801,472). En tiempo de CPU, HC fue el más rápido en las cuatro dimensiones; con </w:t>
      </w:r>
      <w:r>
        <w:rPr>
          <w:i/>
          <w:iCs/>
        </w:rPr>
        <w:t xml:space="preserve">D</w:t>
      </w:r>
      <w:r>
        <w:t xml:space="preserve"> = 100 aventajó a SAHC por poco (550.4 frente a 563.0 ms), porque cada evaluación de SAHC costó un poco más (729 frente a 687 ns en promedio). SA resolvió las 30 ejecuciones con </w:t>
      </w:r>
      <w:r>
        <w:rPr>
          <w:i/>
          <w:iCs/>
        </w:rPr>
        <w:t xml:space="preserve">D</w:t>
      </w:r>
      <w:r>
        <w:t xml:space="preserve"> = 10, pero usando en promedio 82.9 % del presupuesto; con </w:t>
      </w:r>
      <w:r>
        <w:rPr>
          <w:i/>
          <w:iCs/>
        </w:rPr>
        <w:t xml:space="preserve">D</w:t>
      </w:r>
      <w:r>
        <w:t xml:space="preserve"> = 30 resolvió 15 de 30 y con </w:t>
      </w:r>
      <w:r>
        <w:rPr>
          <w:i/>
          <w:iCs/>
        </w:rPr>
        <w:t xml:space="preserve">D</w:t>
      </w:r>
      <w:r>
        <w:t xml:space="preserve"> = 50 y 100 ninguna, aunque quedó cerca del umbral (medianas de 1.62×10</w:t>
      </w:r>
      <w:r>
        <w:rPr>
          <w:vertAlign w:val="superscript"/>
        </w:rPr>
        <w:t xml:space="preserve">−8</w:t>
      </w:r>
      <w:r>
        <w:t xml:space="preserve"> y 3.30×10</w:t>
      </w:r>
      <w:r>
        <w:rPr>
          <w:vertAlign w:val="superscript"/>
        </w:rPr>
        <w:t xml:space="preserve">−8</w:t>
      </w:r>
      <w:r>
        <w:t xml:space="preserve">). SAHC-R sólo resolvió 9 de 30 ejecuciones con </w:t>
      </w:r>
      <w:r>
        <w:rPr>
          <w:i/>
          <w:iCs/>
        </w:rPr>
        <w:t xml:space="preserve">D</w:t>
      </w:r>
      <w:r>
        <w:t xml:space="preserve"> = 10 y ninguna en las demás dimensiones, con las peores medianas en todos los casos (hasta 2.11×10</w:t>
      </w:r>
      <w:r>
        <w:rPr>
          <w:vertAlign w:val="superscript"/>
        </w:rPr>
        <w:t xml:space="preserve">−7</w:t>
      </w:r>
      <w:r>
        <w:t xml:space="preserve"> con </w:t>
      </w:r>
      <w:r>
        <w:rPr>
          <w:i/>
          <w:iCs/>
        </w:rPr>
        <w:t xml:space="preserve">D</w:t>
      </w:r>
      <w:r>
        <w:t xml:space="preserve"> = 100).</w:t>
      </w:r>
    </w:p>
    <w:p>
      <w:r>
        <w:t xml:space="preserve">La Fig. 1 muestra la evolución de la mejor solución. Las curvas tienen dos fases. Mientras |</w:t>
      </w:r>
      <w:r>
        <w:rPr>
          <w:i/>
          <w:iCs/>
        </w:rPr>
        <w:t xml:space="preserve">x</w:t>
      </w:r>
      <w:r>
        <w:rPr>
          <w:i/>
          <w:iCs/>
          <w:vertAlign w:val="subscript"/>
        </w:rPr>
        <w:t xml:space="preserve">i</w:t>
      </w:r>
      <w:r>
        <w:t xml:space="preserve">| es mucho mayor que </w:t>
      </w:r>
      <w:r>
        <w:rPr>
          <w:i/>
          <w:iCs/>
        </w:rPr>
        <w:t xml:space="preserve">r</w:t>
      </w:r>
      <w:r>
        <w:t xml:space="preserve">, cada mejora acerca la componente al óptimo en una cantidad del orden de </w:t>
      </w:r>
      <w:r>
        <w:rPr>
          <w:i/>
          <w:iCs/>
        </w:rPr>
        <w:t xml:space="preserve">r</w:t>
      </w:r>
      <w:r>
        <w:t xml:space="preserve">, y en escala logarítmica eso se ve como una caída abrupta. Cuando |</w:t>
      </w:r>
      <w:r>
        <w:rPr>
          <w:i/>
          <w:iCs/>
        </w:rPr>
        <w:t xml:space="preserve">x</w:t>
      </w:r>
      <w:r>
        <w:rPr>
          <w:i/>
          <w:iCs/>
          <w:vertAlign w:val="subscript"/>
        </w:rPr>
        <w:t xml:space="preserve">i</w:t>
      </w:r>
      <w:r>
        <w:t xml:space="preserve">| se vuelve comparable con </w:t>
      </w:r>
      <w:r>
        <w:rPr>
          <w:i/>
          <w:iCs/>
        </w:rPr>
        <w:t xml:space="preserve">r</w:t>
      </w:r>
      <w:r>
        <w:t xml:space="preserve">, sólo los ruidos pequeños mejoran, la probabilidad de aceptar un vecino disminuye y el avance se vuelve lento: como el paso no se adapta, HC y SAHC dedican cerca de la mitad de sus evaluaciones a este refinamiento final. SAHC-R es el más rápido en la primera fase, gracias a su paso diez veces mayor y a que elige el mejor de 20 a 50 vecinos, pero se estanca por encima del umbral (medianas finales de 1.49×10</w:t>
      </w:r>
      <w:r>
        <w:rPr>
          <w:vertAlign w:val="superscript"/>
        </w:rPr>
        <w:t xml:space="preserve">−8</w:t>
      </w:r>
      <w:r>
        <w:t xml:space="preserve"> a 2.11×10</w:t>
      </w:r>
      <w:r>
        <w:rPr>
          <w:vertAlign w:val="superscript"/>
        </w:rPr>
        <w:t xml:space="preserve">−7</w:t>
      </w:r>
      <w:r>
        <w:t xml:space="preserve">), porque al pasar siempre al mejor vecino oscila alrededor del óptimo a la escala de </w:t>
      </w:r>
      <w:r>
        <w:rPr>
          <w:i/>
          <w:iCs/>
        </w:rPr>
        <w:t xml:space="preserve">r</w:t>
      </w:r>
      <w:r>
        <w:t xml:space="preserve">.</w:t>
      </w:r>
    </w:p>
    <w:p>
      <w:pPr>
        <w:keepNext/>
      </w:pPr>
      <w:r>
        <w:t xml:space="preserve">En </w:t>
      </w:r>
      <w:r>
        <w:rPr>
          <w:i/>
          <w:iCs/>
        </w:rPr>
        <w:t xml:space="preserve">D</w:t>
      </w:r>
      <w:r>
        <w:t xml:space="preserve"> = 100 la curva de SA coincide con la de HC (usan los mismos </w:t>
      </w:r>
      <w:r>
        <w:rPr>
          <w:i/>
          <w:iCs/>
        </w:rPr>
        <w:t xml:space="preserve">p</w:t>
      </w:r>
      <w:r>
        <w:t xml:space="preserve"> y </w:t>
      </w:r>
      <w:r>
        <w:rPr>
          <w:i/>
          <w:iCs/>
        </w:rPr>
        <w:t xml:space="preserve">r</w:t>
      </w:r>
      <w:r>
        <w:t xml:space="preserve">) hasta cerca de 4×10</w:t>
      </w:r>
      <w:r>
        <w:rPr>
          <w:vertAlign w:val="superscript"/>
        </w:rPr>
        <w:t xml:space="preserve">5</w:t>
      </w:r>
      <w:r>
        <w:t xml:space="preserve"> evaluaciones y después se separa. La explicación es la distribución de equilibrio del recocido: a temperatura </w:t>
      </w:r>
      <w:r>
        <w:rPr>
          <w:i/>
          <w:iCs/>
        </w:rPr>
        <w:t xml:space="preserve">T</w:t>
      </w:r>
      <w:r>
        <w:t xml:space="preserve">, SA visita las soluciones con probabilidad proporcional a </w:t>
      </w:r>
      <w:r>
        <w:rPr>
          <w:i/>
          <w:iCs/>
        </w:rPr>
        <w:t xml:space="preserve">e</w:t>
      </w:r>
      <w:r>
        <w:rPr>
          <w:i/>
          <w:iCs/>
          <w:vertAlign w:val="superscript"/>
        </w:rPr>
        <w:t xml:space="preserve">−f(x)/T</w:t>
      </w:r>
      <w:r>
        <w:t xml:space="preserve">, que en la esfera es una normal con varianza </w:t>
      </w:r>
      <w:r>
        <w:rPr>
          <w:i/>
          <w:iCs/>
        </w:rPr>
        <w:t xml:space="preserve">T</w:t>
      </w:r>
      <w:r>
        <w:t xml:space="preserve">/2 en cada componente, de modo que</w:t>
      </w:r>
    </w:p>
    <w:p>
      <w:pPr>
        <w:pStyle w:val="equation"/>
        <w:tabs>
          <w:tab w:val="clear" w:pos="3289"/>
          <w:tab w:val="clear" w:pos="6917"/>
          <w:tab w:val="center" w:pos="4252"/>
          <w:tab w:val="right" w:pos="8504"/>
        </w:tabs>
      </w:pPr>
      <w:r>
        <w:tab/>
      </w:r>
      <m:oMath>
        <m:r>
          <w:rPr>
            <w:rFonts w:ascii="Cambria Math" w:hAnsi="Cambria Math"/>
          </w:rPr>
          <m:t xml:space="preserve">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m:t>
        </m:r>
        <m:nary>
          <m:naryPr>
            <m:chr m:val="∑"/>
            <m:limLoc m:val="undOvr"/>
          </m:naryPr>
          <m:sub>
            <m:r>
              <w:rPr>
                <w:rFonts w:ascii="Cambria Math" w:hAnsi="Cambria Math"/>
              </w:rPr>
              <m:t xml:space="preserve">i=1</m:t>
            </m:r>
          </m:sub>
          <m:sup>
            <m:r>
              <w:rPr>
                <w:rFonts w:ascii="Cambria Math" w:hAnsi="Cambria Math"/>
              </w:rPr>
              <m:t xml:space="preserve">D</m:t>
            </m:r>
          </m:sup>
          <m:e>
            <m:r>
              <w:rPr>
                <w:rFonts w:ascii="Cambria Math" w:hAnsi="Cambria Math"/>
              </w:rPr>
              <m:t xml:space="preserve">E</m:t>
            </m:r>
            <m:r>
              <m:rPr>
                <m:sty m:val="p"/>
              </m:rPr>
              <w:rPr>
                <w:rFonts w:ascii="Cambria Math" w:hAnsi="Cambria Math"/>
              </w:rPr>
              <m:t xml:space="preserve">[</m:t>
            </m:r>
            <m:sSubSup>
              <m:e>
                <m:r>
                  <w:rPr>
                    <w:rFonts w:ascii="Cambria Math" w:hAnsi="Cambria Math"/>
                  </w:rPr>
                  <m:t xml:space="preserve">x</m:t>
                </m:r>
              </m:e>
              <m:sub>
                <m:r>
                  <w:rPr>
                    <w:rFonts w:ascii="Cambria Math" w:hAnsi="Cambria Math"/>
                  </w:rPr>
                  <m:t xml:space="preserve">i</m:t>
                </m:r>
              </m:sub>
              <m:sup>
                <m:r>
                  <w:rPr>
                    <w:rFonts w:ascii="Cambria Math" w:hAnsi="Cambria Math"/>
                  </w:rPr>
                  <m:t xml:space="preserve">2</m:t>
                </m:r>
              </m:sup>
            </m:sSubSup>
            <m:r>
              <m:rPr>
                <m:sty m:val="p"/>
              </m:rPr>
              <w:rPr>
                <w:rFonts w:ascii="Cambria Math" w:hAnsi="Cambria Math"/>
              </w:rPr>
              <m:t xml:space="preserve">]</m:t>
            </m:r>
          </m:e>
        </m:nary>
        <m:r>
          <w:rPr>
            <w:rFonts w:ascii="Cambria Math" w:hAnsi="Cambria Math"/>
          </w:rPr>
          <m:t xml:space="preserve">=</m:t>
        </m:r>
        <m:f>
          <m:num>
            <m:r>
              <w:rPr>
                <w:rFonts w:ascii="Cambria Math" w:hAnsi="Cambria Math"/>
              </w:rPr>
              <m:t xml:space="preserve">D</m:t>
            </m:r>
            <m:r>
              <w:rPr>
                <w:rFonts w:ascii="Cambria Math" w:hAnsi="Cambria Math"/>
              </w:rPr>
              <m:t xml:space="preserve">T</m:t>
            </m:r>
          </m:num>
          <m:den>
            <m:r>
              <w:rPr>
                <w:rFonts w:ascii="Cambria Math" w:hAnsi="Cambria Math"/>
              </w:rPr>
              <m:t xml:space="preserve">2</m:t>
            </m:r>
          </m:den>
        </m:f>
      </m:oMath>
      <w:r>
        <w:tab/>
        <w:t>(</w:t>
      </w:r>
      <w:r>
        <w:t xml:space="preserve">4</w:t>
      </w:r>
      <w:r>
        <w:t>)</w:t>
      </w:r>
    </w:p>
    <w:p>
      <w:pPr>
        <w:pStyle w:val="p1a"/>
      </w:pPr>
      <w:r>
        <w:t xml:space="preserve">Mientras </w:t>
      </w:r>
      <w:r>
        <w:rPr>
          <w:i/>
          <w:iCs/>
        </w:rPr>
        <w:t xml:space="preserve">f</w:t>
      </w:r>
      <w:r>
        <w:t xml:space="preserve"> está muy por encima de </w:t>
      </w:r>
      <w:r>
        <w:rPr>
          <w:i/>
          <w:iCs/>
        </w:rPr>
        <w:t xml:space="preserve">DT</w:t>
      </w:r>
      <w:r>
        <w:t xml:space="preserve">/2, los empeoramientos que SA acepta son pequeños frente a las mejoras y avanza prácticamente como HC; al llegar a ese nivel se estanca y sólo baja al ritmo en que se enfría. Para que </w:t>
      </w:r>
      <w:r>
        <w:rPr>
          <w:i/>
          <w:iCs/>
        </w:rPr>
        <w:t xml:space="preserve">DT</w:t>
      </w:r>
      <w:r>
        <w:t xml:space="preserve">/2 ≤ 10</w:t>
      </w:r>
      <w:r>
        <w:rPr>
          <w:vertAlign w:val="superscript"/>
        </w:rPr>
        <w:t xml:space="preserve">−8</w:t>
      </w:r>
      <w:r>
        <w:t xml:space="preserve"> hace falta </w:t>
      </w:r>
      <w:r>
        <w:rPr>
          <w:i/>
          <w:iCs/>
        </w:rPr>
        <w:t xml:space="preserve">T</w:t>
      </w:r>
      <w:r>
        <w:t xml:space="preserve"> ≤ 2×10</w:t>
      </w:r>
      <w:r>
        <w:rPr>
          <w:vertAlign w:val="superscript"/>
        </w:rPr>
        <w:t xml:space="preserve">−8</w:t>
      </w:r>
      <w:r>
        <w:t xml:space="preserve">/</w:t>
      </w:r>
      <w:r>
        <w:rPr>
          <w:i/>
          <w:iCs/>
        </w:rPr>
        <w:t xml:space="preserve">D</w:t>
      </w:r>
      <w:r>
        <w:t xml:space="preserve">, temperatura que el enfriamiento de la Ec. (3) alcanza a 81.4 % del presupuesto con </w:t>
      </w:r>
      <w:r>
        <w:rPr>
          <w:i/>
          <w:iCs/>
        </w:rPr>
        <w:t xml:space="preserve">D</w:t>
      </w:r>
      <w:r>
        <w:t xml:space="preserve"> = 10 (SA usó 82.9 %), a 88.2 % con </w:t>
      </w:r>
      <w:r>
        <w:rPr>
          <w:i/>
          <w:iCs/>
        </w:rPr>
        <w:t xml:space="preserve">D</w:t>
      </w:r>
      <w:r>
        <w:t xml:space="preserve"> = 30 y a 95.7 % con </w:t>
      </w:r>
      <w:r>
        <w:rPr>
          <w:i/>
          <w:iCs/>
        </w:rPr>
        <w:t xml:space="preserve">D</w:t>
      </w:r>
      <w:r>
        <w:t xml:space="preserve"> = 100, sin dejar margen para el refinamiento. Esto explica por qué SA deja de alcanzar el umbral al crecer </w:t>
      </w:r>
      <w:r>
        <w:rPr>
          <w:i/>
          <w:iCs/>
        </w:rPr>
        <w:t xml:space="preserve">D</w:t>
      </w:r>
      <w:r>
        <w:t xml:space="preserve"> aunque su </w:t>
      </w:r>
      <w:r>
        <w:rPr>
          <w:i/>
          <w:iCs/>
        </w:rPr>
        <w:t xml:space="preserve">T</w:t>
      </w:r>
      <w:r>
        <w:rPr>
          <w:vertAlign w:val="subscript"/>
        </w:rPr>
        <w:t xml:space="preserve">0</w:t>
      </w:r>
      <w:r>
        <w:t xml:space="preserve"> sea pequeña.</w:t>
      </w:r>
    </w:p>
    <w:p>
      <w:pPr>
        <w:keepNext/>
        <w:spacing w:before="240"/>
        <w:ind w:firstLine="0"/>
        <w:jc w:val="center"/>
      </w:pPr>
      <w:r>
        <w:drawing>
          <wp:inline distT="0" distB="0" distL="0" distR="0">
            <wp:extent cx="4860000" cy="3605806"/>
            <wp:effectExtent l="0" t="0" r="0" b="0"/>
            <wp:docPr id="101" name="convergencia.png" descr="Curvas de convergencia de los cuatro algoritmos para D = 10, 30, 50 y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nvergencia.png"/>
                    <pic:cNvPicPr/>
                  </pic:nvPicPr>
                  <pic:blipFill>
                    <a:blip r:embed="rIdImg1"/>
                    <a:stretch>
                      <a:fillRect/>
                    </a:stretch>
                  </pic:blipFill>
                  <pic:spPr>
                    <a:xfrm>
                      <a:off x="0" y="0"/>
                      <a:ext cx="4860000" cy="3605806"/>
                    </a:xfrm>
                    <a:prstGeom prst="rect">
                      <a:avLst/>
                    </a:prstGeom>
                  </pic:spPr>
                </pic:pic>
              </a:graphicData>
            </a:graphic>
          </wp:inline>
        </w:drawing>
      </w:r>
    </w:p>
    <w:p>
      <w:pPr>
        <w:pStyle w:val="figurecaption"/>
        <w:jc w:val="both"/>
      </w:pPr>
      <w:r>
        <w:rPr>
          <w:b/>
          <w:bCs/>
        </w:rPr>
        <w:t xml:space="preserve">Fig. </w:t>
      </w:r>
      <w:r>
        <w:rPr>
          <w:b/>
          <w:bCs/>
        </w:rPr>
        <w:t xml:space="preserve">1</w:t>
      </w:r>
      <w:r>
        <w:rPr>
          <w:b/>
          <w:bCs/>
        </w:rPr>
        <w:t xml:space="preserve">.</w:t>
      </w:r>
      <w:r>
        <w:t xml:space="preserve"> </w:t>
      </w:r>
      <w:r>
        <w:t xml:space="preserve">Convergencia de los cuatro algoritmos: mediana (línea) y rango intercuartil (sombra) de la mejor </w:t>
      </w:r>
      <w:r>
        <w:rPr>
          <w:i/>
          <w:iCs/>
        </w:rPr>
        <w:t xml:space="preserve">f</w:t>
      </w:r>
      <w:r>
        <w:t xml:space="preserve">(</w:t>
      </w:r>
      <w:r>
        <w:rPr>
          <w:b/>
          <w:bCs/>
        </w:rPr>
        <w:t xml:space="preserve">x</w:t>
      </w:r>
      <w:r>
        <w:t xml:space="preserve">) encontrada en las 30 ejecuciones, en escala logarítmica. La línea punteada marca el umbral de éxito 10</w:t>
      </w:r>
      <w:r>
        <w:rPr>
          <w:vertAlign w:val="superscript"/>
        </w:rPr>
        <w:t xml:space="preserve">−8</w:t>
      </w:r>
      <w:r>
        <w:t xml:space="preserve">.</w:t>
      </w:r>
    </w:p>
    <w:p>
      <w:pPr>
        <w:keepNext/>
        <w:spacing w:before="240"/>
        <w:ind w:firstLine="0"/>
        <w:jc w:val="center"/>
      </w:pPr>
      <w:r>
        <w:drawing>
          <wp:inline distT="0" distB="0" distL="0" distR="0">
            <wp:extent cx="5040000" cy="2032258"/>
            <wp:effectExtent l="0" t="0" r="0" b="0"/>
            <wp:docPr id="102" name="dispersion.png" descr="Diagramas de caja del valor final de f para cada algoritmo y dim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spersion.png"/>
                    <pic:cNvPicPr/>
                  </pic:nvPicPr>
                  <pic:blipFill>
                    <a:blip r:embed="rIdImg2"/>
                    <a:stretch>
                      <a:fillRect/>
                    </a:stretch>
                  </pic:blipFill>
                  <pic:spPr>
                    <a:xfrm>
                      <a:off x="0" y="0"/>
                      <a:ext cx="5040000" cy="2032258"/>
                    </a:xfrm>
                    <a:prstGeom prst="rect">
                      <a:avLst/>
                    </a:prstGeom>
                  </pic:spPr>
                </pic:pic>
              </a:graphicData>
            </a:graphic>
          </wp:inline>
        </w:drawing>
      </w:r>
    </w:p>
    <w:p>
      <w:pPr>
        <w:pStyle w:val="figurecaption"/>
        <w:jc w:val="both"/>
      </w:pPr>
      <w:r>
        <w:rPr>
          <w:b/>
          <w:bCs/>
        </w:rPr>
        <w:t xml:space="preserve">Fig. </w:t>
      </w:r>
      <w:r>
        <w:rPr>
          <w:b/>
          <w:bCs/>
        </w:rPr>
        <w:t xml:space="preserve">2</w:t>
      </w:r>
      <w:r>
        <w:rPr>
          <w:b/>
          <w:bCs/>
        </w:rPr>
        <w:t xml:space="preserve">.</w:t>
      </w:r>
      <w:r>
        <w:t xml:space="preserve"> </w:t>
      </w:r>
      <w:r>
        <w:t xml:space="preserve">Distribución del valor final de </w:t>
      </w:r>
      <w:r>
        <w:rPr>
          <w:i/>
          <w:iCs/>
        </w:rPr>
        <w:t xml:space="preserve">f</w:t>
      </w:r>
      <w:r>
        <w:t xml:space="preserve">(</w:t>
      </w:r>
      <w:r>
        <w:rPr>
          <w:b/>
          <w:bCs/>
        </w:rPr>
        <w:t xml:space="preserve">x</w:t>
      </w:r>
      <w:r>
        <w:t xml:space="preserve">) en las 30 ejecuciones (escala logarítmica). La línea punteada marca el umbral 10</w:t>
      </w:r>
      <w:r>
        <w:rPr>
          <w:vertAlign w:val="superscript"/>
        </w:rPr>
        <w:t xml:space="preserve">−8</w:t>
      </w:r>
      <w:r>
        <w:t xml:space="preserve">.</w:t>
      </w:r>
    </w:p>
    <w:p>
      <w:pPr>
        <w:pStyle w:val="p1a"/>
      </w:pPr>
      <w:r>
        <w:t xml:space="preserve">La Fig. 2 resume la dispersión del valor final. HC y SAHC quedan siempre justo por debajo del umbral. SA queda por encima a partir de </w:t>
      </w:r>
      <w:r>
        <w:rPr>
          <w:i/>
          <w:iCs/>
        </w:rPr>
        <w:t xml:space="preserve">D</w:t>
      </w:r>
      <w:r>
        <w:t xml:space="preserve"> = 30, pero con cajas estrechas, y SAHC-R tiene las cajas más altas y más anchas en todas las dimensiones.</w:t>
      </w:r>
    </w:p>
    <w:p>
      <w:pPr>
        <w:pStyle w:val="heading1"/>
      </w:pPr>
      <w:r>
        <w:t xml:space="preserve">Discusión</w:t>
      </w:r>
    </w:p>
    <w:p>
      <w:pPr>
        <w:pStyle w:val="heading2"/>
      </w:pPr>
      <w:r>
        <w:t xml:space="preserve">¿Qué algoritmo fue más estable?</w:t>
      </w:r>
    </w:p>
    <w:p>
      <w:pPr>
        <w:pStyle w:val="p1a"/>
      </w:pPr>
      <w:r>
        <w:t xml:space="preserve">Se considera más estable el algoritmo que produce resultados parecidos en todas las ejecuciones. Para los algoritmos que alcanzan el umbral, eso se mide con la tasa de éxito y la dispersión del esfuerzo que necesitan para alcanzarlo (el coeficiente de variación, CV = desviación estándar / media, de las evaluaciones); para los que no lo alcanzan, con el CV del valor final de </w:t>
      </w:r>
      <w:r>
        <w:rPr>
          <w:i/>
          <w:iCs/>
        </w:rPr>
        <w:t xml:space="preserve">f</w:t>
      </w:r>
      <w:r>
        <w:t xml:space="preserve">.</w:t>
      </w:r>
    </w:p>
    <w:p>
      <w:r>
        <w:t xml:space="preserve">Con ese criterio, </w:t>
      </w:r>
      <w:r>
        <w:rPr>
          <w:b/>
          <w:bCs/>
        </w:rPr>
        <w:t xml:space="preserve">Hill Climbing Steepest Ascent fue el algoritmo más estable</w:t>
      </w:r>
      <w:r>
        <w:t xml:space="preserve">. Junto con HC es el único que resolvió el 100 % de las ejecuciones en las cuatro dimensiones, y entre los dos fue el de menor dispersión en el número de evaluaciones con </w:t>
      </w:r>
      <w:r>
        <w:rPr>
          <w:i/>
          <w:iCs/>
        </w:rPr>
        <w:t xml:space="preserve">D</w:t>
      </w:r>
      <w:r>
        <w:t xml:space="preserve"> = 10, 30 y 50 (CV de 12.6 %, 7.1 % y 7.8 %, frente a 13.8 %, 12.9 % y 10.0 % de HC); con </w:t>
      </w:r>
      <w:r>
        <w:rPr>
          <w:i/>
          <w:iCs/>
        </w:rPr>
        <w:t xml:space="preserve">D</w:t>
      </w:r>
      <w:r>
        <w:t xml:space="preserve"> = 100 HC fue algo más regular (5.9 % contra 7.8 %). La razón es que SAHC se queda con el mejor de </w:t>
      </w:r>
      <w:r>
        <w:rPr>
          <w:i/>
          <w:iCs/>
        </w:rPr>
        <w:t xml:space="preserve">n</w:t>
      </w:r>
      <w:r>
        <w:t xml:space="preserve"> vecinos, lo que vuelve más regular el avance de cada iteración que en HC, donde depende de un solo vecino. HC queda en segundo lugar, muy cerca.</w:t>
      </w:r>
    </w:p>
    <w:p>
      <w:r>
        <w:t xml:space="preserve">SA fue el más regular con </w:t>
      </w:r>
      <w:r>
        <w:rPr>
          <w:i/>
          <w:iCs/>
        </w:rPr>
        <w:t xml:space="preserve">D</w:t>
      </w:r>
      <w:r>
        <w:t xml:space="preserve"> = 10 (CV de 5.8 % en las evaluaciones), pero por otra razón: lo que decide cuándo converge es el programa de enfriamiento, que es igual en todas las ejecuciones (Ec. 4). Esa regularidad no se traduce en éxito al crecer </w:t>
      </w:r>
      <w:r>
        <w:rPr>
          <w:i/>
          <w:iCs/>
        </w:rPr>
        <w:t xml:space="preserve">D</w:t>
      </w:r>
      <w:r>
        <w:t xml:space="preserve">: resolvió 15 de 30 ejecuciones con </w:t>
      </w:r>
      <w:r>
        <w:rPr>
          <w:i/>
          <w:iCs/>
        </w:rPr>
        <w:t xml:space="preserve">D</w:t>
      </w:r>
      <w:r>
        <w:t xml:space="preserve"> = 30 y ninguna con </w:t>
      </w:r>
      <w:r>
        <w:rPr>
          <w:i/>
          <w:iCs/>
        </w:rPr>
        <w:t xml:space="preserve">D</w:t>
      </w:r>
      <w:r>
        <w:t xml:space="preserve"> = 50 y 100, aunque con poca dispersión (CV de </w:t>
      </w:r>
      <w:r>
        <w:rPr>
          <w:i/>
          <w:iCs/>
        </w:rPr>
        <w:t xml:space="preserve">f</w:t>
      </w:r>
      <w:r>
        <w:t xml:space="preserve"> de 20.3 % y 14.5 %). SAHC-R fue el menos estable: tuvo el mayor CV de </w:t>
      </w:r>
      <w:r>
        <w:rPr>
          <w:i/>
          <w:iCs/>
        </w:rPr>
        <w:t xml:space="preserve">f</w:t>
      </w:r>
      <w:r>
        <w:t xml:space="preserve"> en todas las dimensiones (entre 27.2 % y 64.8 %) y la menor tasa de éxito.</w:t>
      </w:r>
    </w:p>
    <w:p>
      <w:pPr>
        <w:pStyle w:val="heading2"/>
      </w:pPr>
      <w:r>
        <w:t xml:space="preserve">Ventajas y desventajas</w:t>
      </w:r>
    </w:p>
    <w:p>
      <w:pPr>
        <w:pStyle w:val="p1a"/>
        <w:spacing w:before="120"/>
      </w:pPr>
      <w:r>
        <w:rPr>
          <w:b/>
          <w:bCs/>
        </w:rPr>
        <w:t xml:space="preserve">Hill Climbing.</w:t>
      </w:r>
      <w:r>
        <w:t xml:space="preserve"> </w:t>
      </w:r>
      <w:r>
        <w:rPr>
          <w:i/>
          <w:iCs/>
        </w:rPr>
        <w:t xml:space="preserve">Ventajas:</w:t>
      </w:r>
      <w:r>
        <w:t xml:space="preserve"> es el más simple (sólo </w:t>
      </w:r>
      <w:r>
        <w:rPr>
          <w:i/>
          <w:iCs/>
        </w:rPr>
        <w:t xml:space="preserve">p</w:t>
      </w:r>
      <w:r>
        <w:t xml:space="preserve"> y </w:t>
      </w:r>
      <w:r>
        <w:rPr>
          <w:i/>
          <w:iCs/>
        </w:rPr>
        <w:t xml:space="preserve">r</w:t>
      </w:r>
      <w:r>
        <w:t xml:space="preserve">) y, en este problema, el más eficiente: usa una evaluación por iteración, resolvió todas las ejecuciones, fue el más rápido en tiempo de CPU en las cuatro dimensiones y necesitó la menor cantidad de evaluaciones con </w:t>
      </w:r>
      <w:r>
        <w:rPr>
          <w:i/>
          <w:iCs/>
        </w:rPr>
        <w:t xml:space="preserve">D</w:t>
      </w:r>
      <w:r>
        <w:t xml:space="preserve"> = 10, 30 y 50. </w:t>
      </w:r>
      <w:r>
        <w:rPr>
          <w:i/>
          <w:iCs/>
        </w:rPr>
        <w:t xml:space="preserve">Desventajas:</w:t>
      </w:r>
      <w:r>
        <w:t xml:space="preserve"> sólo acepta mejoras, así que en una función multimodal se detendría en el primer óptimo local que encuentre, algo que la esfera no pone a prueba. Además depende mucho del tamaño de paso: con </w:t>
      </w:r>
      <w:r>
        <w:rPr>
          <w:i/>
          <w:iCs/>
        </w:rPr>
        <w:t xml:space="preserve">r</w:t>
      </w:r>
      <w:r>
        <w:t xml:space="preserve"> = 0.1 no resolvió ninguna ejecución piloto en </w:t>
      </w:r>
      <w:r>
        <w:rPr>
          <w:i/>
          <w:iCs/>
        </w:rPr>
        <w:t xml:space="preserve">D</w:t>
      </w:r>
      <w:r>
        <w:t xml:space="preserve"> = 100. Y como </w:t>
      </w:r>
      <w:r>
        <w:rPr>
          <w:i/>
          <w:iCs/>
        </w:rPr>
        <w:t xml:space="preserve">r</w:t>
      </w:r>
      <w:r>
        <w:t xml:space="preserve"> es fijo, gasta cerca de la mitad del presupuesto en el refinamiento final (Fig. 1).</w:t>
      </w:r>
    </w:p>
    <w:p>
      <w:pPr>
        <w:pStyle w:val="p1a"/>
        <w:spacing w:before="120"/>
      </w:pPr>
      <w:r>
        <w:rPr>
          <w:b/>
          <w:bCs/>
        </w:rPr>
        <w:t xml:space="preserve">Hill Climbing Steepest Ascent.</w:t>
      </w:r>
      <w:r>
        <w:t xml:space="preserve"> </w:t>
      </w:r>
      <w:r>
        <w:rPr>
          <w:i/>
          <w:iCs/>
        </w:rPr>
        <w:t xml:space="preserve">Ventajas:</w:t>
      </w:r>
      <w:r>
        <w:t xml:space="preserve"> tomar el mejor de </w:t>
      </w:r>
      <w:r>
        <w:rPr>
          <w:i/>
          <w:iCs/>
        </w:rPr>
        <w:t xml:space="preserve">n</w:t>
      </w:r>
      <w:r>
        <w:t xml:space="preserve"> vecinos hace más regular el avance, lo que lo volvió el más estable, y con </w:t>
      </w:r>
      <w:r>
        <w:rPr>
          <w:i/>
          <w:iCs/>
        </w:rPr>
        <w:t xml:space="preserve">D</w:t>
      </w:r>
      <w:r>
        <w:t xml:space="preserve"> = 100 fue el que menos evaluaciones necesitó (772,049 frente a 801,472 de HC). </w:t>
      </w:r>
      <w:r>
        <w:rPr>
          <w:i/>
          <w:iCs/>
        </w:rPr>
        <w:t xml:space="preserve">Desventajas:</w:t>
      </w:r>
      <w:r>
        <w:t xml:space="preserve"> añade el parámetro </w:t>
      </w:r>
      <w:r>
        <w:rPr>
          <w:i/>
          <w:iCs/>
        </w:rPr>
        <w:t xml:space="preserve">n</w:t>
      </w:r>
      <w:r>
        <w:t xml:space="preserve"> y, con presupuesto fijo, es sensible a él, porque cada vecino adicional cuesta una evaluación (Sección 3.2), y el valor elegido (</w:t>
      </w:r>
      <w:r>
        <w:rPr>
          <w:i/>
          <w:iCs/>
        </w:rPr>
        <w:t xml:space="preserve">n</w:t>
      </w:r>
      <w:r>
        <w:t xml:space="preserve"> = 2 a 5) lo deja muy cerca de HC. Cada evaluación le costó algo más de tiempo que a HC, de modo que su ahorro de evaluaciones con </w:t>
      </w:r>
      <w:r>
        <w:rPr>
          <w:i/>
          <w:iCs/>
        </w:rPr>
        <w:t xml:space="preserve">D</w:t>
      </w:r>
      <w:r>
        <w:t xml:space="preserve"> = 100 no se tradujo en menor tiempo. Comparte con HC la incapacidad de escapar de óptimos locales.</w:t>
      </w:r>
    </w:p>
    <w:p>
      <w:pPr>
        <w:pStyle w:val="p1a"/>
        <w:spacing w:before="120"/>
      </w:pPr>
      <w:r>
        <w:rPr>
          <w:b/>
          <w:bCs/>
        </w:rPr>
        <w:t xml:space="preserve">Hill Climbing Steepest Ascent with Replacement.</w:t>
      </w:r>
      <w:r>
        <w:t xml:space="preserve"> </w:t>
      </w:r>
      <w:r>
        <w:rPr>
          <w:i/>
          <w:iCs/>
        </w:rPr>
        <w:t xml:space="preserve">Ventajas:</w:t>
      </w:r>
      <w:r>
        <w:t xml:space="preserve"> es la única variante de Hill Climbing que puede empeorar a propósito, lo que en funciones multimodales le permitiría salir de óptimos locales, y guardar </w:t>
      </w:r>
      <w:r>
        <w:rPr>
          <w:i/>
          <w:iCs/>
        </w:rPr>
        <w:t xml:space="preserve">Best</w:t>
      </w:r>
      <w:r>
        <w:t xml:space="preserve"> garantiza no perder la mejor solución. En la esfera fue el que más rápido redujo </w:t>
      </w:r>
      <w:r>
        <w:rPr>
          <w:i/>
          <w:iCs/>
        </w:rPr>
        <w:t xml:space="preserve">f</w:t>
      </w:r>
      <w:r>
        <w:t xml:space="preserve"> al principio (Fig. 1). </w:t>
      </w:r>
      <w:r>
        <w:rPr>
          <w:i/>
          <w:iCs/>
        </w:rPr>
        <w:t xml:space="preserve">Desventajas:</w:t>
      </w:r>
      <w:r>
        <w:t xml:space="preserve"> en un problema unimodal moverse siempre es contraproducente: cerca del óptimo, el mejor de los </w:t>
      </w:r>
      <w:r>
        <w:rPr>
          <w:i/>
          <w:iCs/>
        </w:rPr>
        <w:t xml:space="preserve">n</w:t>
      </w:r>
      <w:r>
        <w:t xml:space="preserve"> vecinos suele ser peor que </w:t>
      </w:r>
      <w:r>
        <w:rPr>
          <w:i/>
          <w:iCs/>
        </w:rPr>
        <w:t xml:space="preserve">S</w:t>
      </w:r>
      <w:r>
        <w:t xml:space="preserve"> y la búsqueda oscila a la escala de </w:t>
      </w:r>
      <w:r>
        <w:rPr>
          <w:i/>
          <w:iCs/>
        </w:rPr>
        <w:t xml:space="preserve">r</w:t>
      </w:r>
      <w:r>
        <w:t xml:space="preserve">, por lo que nunca alcanzó 10</w:t>
      </w:r>
      <w:r>
        <w:rPr>
          <w:vertAlign w:val="superscript"/>
        </w:rPr>
        <w:t xml:space="preserve">−8</w:t>
      </w:r>
      <w:r>
        <w:t xml:space="preserve"> con </w:t>
      </w:r>
      <w:r>
        <w:rPr>
          <w:i/>
          <w:iCs/>
        </w:rPr>
        <w:t xml:space="preserve">D</w:t>
      </w:r>
      <w:r>
        <w:t xml:space="preserve"> ≥ 30 y fue el menos estable. Además exige ajustar </w:t>
      </w:r>
      <w:r>
        <w:rPr>
          <w:i/>
          <w:iCs/>
        </w:rPr>
        <w:t xml:space="preserve">r</w:t>
      </w:r>
      <w:r>
        <w:t xml:space="preserve"> y </w:t>
      </w:r>
      <w:r>
        <w:rPr>
          <w:i/>
          <w:iCs/>
        </w:rPr>
        <w:t xml:space="preserve">n</w:t>
      </w:r>
      <w:r>
        <w:t xml:space="preserve"> en conjunto y necesitó muchos vecinos por iteración (</w:t>
      </w:r>
      <w:r>
        <w:rPr>
          <w:i/>
          <w:iCs/>
        </w:rPr>
        <w:t xml:space="preserve">n</w:t>
      </w:r>
      <w:r>
        <w:t xml:space="preserve"> = 20 a 50).</w:t>
      </w:r>
    </w:p>
    <w:p>
      <w:pPr>
        <w:pStyle w:val="p1a"/>
        <w:spacing w:before="120"/>
      </w:pPr>
      <w:r>
        <w:rPr>
          <w:b/>
          <w:bCs/>
        </w:rPr>
        <w:t xml:space="preserve">Simulated Annealing.</w:t>
      </w:r>
      <w:r>
        <w:t xml:space="preserve"> </w:t>
      </w:r>
      <w:r>
        <w:rPr>
          <w:i/>
          <w:iCs/>
        </w:rPr>
        <w:t xml:space="preserve">Ventajas:</w:t>
      </w:r>
      <w:r>
        <w:t xml:space="preserve"> aceptar empeoramientos con una probabilidad que baja con la temperatura le permite explorar al inicio y explotar al final [2], que es lo que se necesita en funciones multimodales; usa una evaluación por iteración y con </w:t>
      </w:r>
      <w:r>
        <w:rPr>
          <w:i/>
          <w:iCs/>
        </w:rPr>
        <w:t xml:space="preserve">D</w:t>
      </w:r>
      <w:r>
        <w:t xml:space="preserve"> = 10 fue el de comportamiento más regular. </w:t>
      </w:r>
      <w:r>
        <w:rPr>
          <w:i/>
          <w:iCs/>
        </w:rPr>
        <w:t xml:space="preserve">Desventajas:</w:t>
      </w:r>
      <w:r>
        <w:t xml:space="preserve"> es el que más parámetros requiere (</w:t>
      </w:r>
      <w:r>
        <w:rPr>
          <w:i/>
          <w:iCs/>
        </w:rPr>
        <w:t xml:space="preserve">p</w:t>
      </w:r>
      <w:r>
        <w:t xml:space="preserve">, </w:t>
      </w:r>
      <w:r>
        <w:rPr>
          <w:i/>
          <w:iCs/>
        </w:rPr>
        <w:t xml:space="preserve">r</w:t>
      </w:r>
      <w:r>
        <w:t xml:space="preserve">, </w:t>
      </w:r>
      <w:r>
        <w:rPr>
          <w:i/>
          <w:iCs/>
        </w:rPr>
        <w:t xml:space="preserve">T</w:t>
      </w:r>
      <w:r>
        <w:rPr>
          <w:vertAlign w:val="subscript"/>
        </w:rPr>
        <w:t xml:space="preserve">0</w:t>
      </w:r>
      <w:r>
        <w:t xml:space="preserve">, </w:t>
      </w:r>
      <w:r>
        <w:rPr>
          <w:i/>
          <w:iCs/>
        </w:rPr>
        <w:t xml:space="preserve">T</w:t>
      </w:r>
      <w:r>
        <w:rPr>
          <w:i/>
          <w:iCs/>
          <w:vertAlign w:val="subscript"/>
        </w:rPr>
        <w:t xml:space="preserve">f</w:t>
      </w:r>
      <w:r>
        <w:t xml:space="preserve"> y el programa de enfriamiento) y su desempeño depende de que la temperatura corresponda a la escala de </w:t>
      </w:r>
      <w:r>
        <w:rPr>
          <w:i/>
          <w:iCs/>
        </w:rPr>
        <w:t xml:space="preserve">f</w:t>
      </w:r>
      <w:r>
        <w:t xml:space="preserve">. En la esfera la exploración no aporta: la mejor </w:t>
      </w:r>
      <w:r>
        <w:rPr>
          <w:i/>
          <w:iCs/>
        </w:rPr>
        <w:t xml:space="preserve">T</w:t>
      </w:r>
      <w:r>
        <w:rPr>
          <w:vertAlign w:val="subscript"/>
        </w:rPr>
        <w:t xml:space="preserve">0</w:t>
      </w:r>
      <w:r>
        <w:t xml:space="preserve"> fue la menor probada y, aun así, por la Ec. (4) sólo puede alcanzar 10</w:t>
      </w:r>
      <w:r>
        <w:rPr>
          <w:vertAlign w:val="superscript"/>
        </w:rPr>
        <w:t xml:space="preserve">−8</w:t>
      </w:r>
      <w:r>
        <w:t xml:space="preserve"> cuando la temperatura baja de 2×10</w:t>
      </w:r>
      <w:r>
        <w:rPr>
          <w:vertAlign w:val="superscript"/>
        </w:rPr>
        <w:t xml:space="preserve">−8</w:t>
      </w:r>
      <w:r>
        <w:t xml:space="preserve">/</w:t>
      </w:r>
      <w:r>
        <w:rPr>
          <w:i/>
          <w:iCs/>
        </w:rPr>
        <w:t xml:space="preserve">D</w:t>
      </w:r>
      <w:r>
        <w:t xml:space="preserve">, lo que ocurre cada vez más cerca del final del presupuesto conforme crece </w:t>
      </w:r>
      <w:r>
        <w:rPr>
          <w:i/>
          <w:iCs/>
        </w:rPr>
        <w:t xml:space="preserve">D</w:t>
      </w:r>
      <w:r>
        <w:t xml:space="preserve">. Además, como no se detiene antes, consumió todo el presupuesto con </w:t>
      </w:r>
      <w:r>
        <w:rPr>
          <w:i/>
          <w:iCs/>
        </w:rPr>
        <w:t xml:space="preserve">D</w:t>
      </w:r>
      <w:r>
        <w:t xml:space="preserve"> ≥ 50 y fue el más lento con </w:t>
      </w:r>
      <w:r>
        <w:rPr>
          <w:i/>
          <w:iCs/>
        </w:rPr>
        <w:t xml:space="preserve">D</w:t>
      </w:r>
      <w:r>
        <w:t xml:space="preserve"> = 30, 50 y 100.</w:t>
      </w:r>
    </w:p>
    <w:p>
      <w:pPr>
        <w:pStyle w:val="heading1"/>
      </w:pPr>
      <w:r>
        <w:t xml:space="preserve">Conclusiones</w:t>
      </w:r>
    </w:p>
    <w:p>
      <w:pPr>
        <w:pStyle w:val="p1a"/>
      </w:pPr>
      <w:r>
        <w:t xml:space="preserve">En la función esfera, los algoritmos que sólo aceptan mejoras fueron claramente superiores: HC y SAHC resolvieron todas sus ejecuciones en las cuatro dimensiones. HC fue el más rápido en todas ellas y el que menos evaluaciones usó hasta </w:t>
      </w:r>
      <w:r>
        <w:rPr>
          <w:i/>
          <w:iCs/>
        </w:rPr>
        <w:t xml:space="preserve">D</w:t>
      </w:r>
      <w:r>
        <w:t xml:space="preserve"> = 50; SAHC usó menos evaluaciones con </w:t>
      </w:r>
      <w:r>
        <w:rPr>
          <w:i/>
          <w:iCs/>
        </w:rPr>
        <w:t xml:space="preserve">D</w:t>
      </w:r>
      <w:r>
        <w:t xml:space="preserve"> = 100 y resultó el más estable. Las dos formas de exploración, moverse siempre (SAHC-R) y aceptar empeoramientos según la temperatura (SA), consumieron evaluaciones sin beneficio en un problema sin óptimos locales: SA sólo alcanzó el umbral cuando su temperatura bajó lo suficiente y SAHC-R quedó oscilando cerca del óptimo.</w:t>
      </w:r>
    </w:p>
    <w:p>
      <w:r>
        <w:t xml:space="preserve">El experimento también muestra que la configuración de parámetros, sobre todo el tamaño de paso </w:t>
      </w:r>
      <w:r>
        <w:rPr>
          <w:i/>
          <w:iCs/>
        </w:rPr>
        <w:t xml:space="preserve">r</w:t>
      </w:r>
      <w:r>
        <w:t xml:space="preserve">, puede pesar tanto como la elección del algoritmo: con un </w:t>
      </w:r>
      <w:r>
        <w:rPr>
          <w:i/>
          <w:iCs/>
        </w:rPr>
        <w:t xml:space="preserve">r</w:t>
      </w:r>
      <w:r>
        <w:t xml:space="preserve"> inadecuado incluso HC falla. Como trabajo futuro se propone repetir la comparación en funciones multimodales, como Rastrigin, donde la capacidad de SA y SAHC-R para escapar de óptimos locales sí podría compensar su costo, y probar un tamaño de paso que se adapte durante la búsqueda.</w:t>
      </w:r>
    </w:p>
    <w:p>
      <w:pPr>
        <w:pStyle w:val="acknowlegments"/>
      </w:pPr>
      <w:r>
        <w:rPr>
          <w:rStyle w:val="heading3"/>
        </w:rPr>
        <w:t xml:space="preserve">Uso responsable de la inteligencia artificial.</w:t>
      </w:r>
      <w:r>
        <w:t xml:space="preserve"> </w:t>
      </w:r>
      <w:r>
        <w:t xml:space="preserve">Se utilizó inteligencia artificial como apoyo en tres actividades: investigación, completación de código y elaboración del documento. Las decisiones son del autor, quien revisó y validó todo el contenido.</w:t>
      </w:r>
    </w:p>
    <w:p>
      <w:pPr>
        <w:pStyle w:val="heading1"/>
        <w:numPr>
          <w:ilvl w:val="0"/>
          <w:numId w:val="0"/>
        </w:numPr>
        <w:ind w:left="567" w:hanging="567"/>
      </w:pPr>
      <w:r>
        <w:t xml:space="preserve">Referencias</w:t>
      </w:r>
    </w:p>
    <w:p>
      <w:pPr>
        <w:pStyle w:val="referenceitem"/>
      </w:pPr>
      <w:r>
        <w:t xml:space="preserve">Luke, S.: Essentials of Metaheuristics. 2nd edn. Lulu (2013), https://cs.gmu.edu/~sean/book/metaheuristics/</w:t>
      </w:r>
    </w:p>
    <w:p>
      <w:pPr>
        <w:pStyle w:val="referenceitem"/>
      </w:pPr>
      <w:r>
        <w:t xml:space="preserve">Kirkpatrick, S., Gelatt, C.D., Vecchi, M.P.: Optimization by simulated annealing. Science </w:t>
      </w:r>
      <w:r>
        <w:rPr>
          <w:b/>
          <w:bCs/>
        </w:rPr>
        <w:t xml:space="preserve">220</w:t>
      </w:r>
      <w:r>
        <w:t xml:space="preserve">(4598), 671–680 (1983)</w:t>
      </w:r>
    </w:p>
    <w:p>
      <w:pPr>
        <w:pStyle w:val="referenceitem"/>
      </w:pPr>
      <w:r>
        <w:t xml:space="preserve">Suganthan, P.N., Hansen, N., Liang, J.J., Deb, K., Chen, Y.P., Auger, A., Tiwari, S.: Problem definitions and evaluation criteria for the CEC 2005 special session on real-parameter optimization. Technical Report, Nanyang Technological University, Singapore (2005)</w:t>
      </w:r>
    </w:p>
    <w:p>
      <w:pPr>
        <w:pStyle w:val="referenceitem"/>
      </w:pPr>
      <w:r>
        <w:t xml:space="preserve">Russell, S., Norvig, P.: Artificial Intelligence: A Modern Approach. 4th edn. Pearson, Hoboken (2020)</w:t>
      </w:r>
    </w:p>
    <w:p>
      <w:pPr>
        <w:pStyle w:val="referenceitem"/>
      </w:pPr>
      <w:r>
        <w:t xml:space="preserve">Matsumoto, M., Nishimura, T.: Mersenne twister: a 623-dimensionally equidistributed uniform pseudo-random number generator. ACM Trans. Model. Comput. Simul. </w:t>
      </w:r>
      <w:r>
        <w:rPr>
          <w:b/>
          <w:bCs/>
        </w:rPr>
        <w:t xml:space="preserve">8</w:t>
      </w:r>
      <w:r>
        <w:t xml:space="preserve">(1), 3–30 (1998)</w:t>
      </w:r>
    </w:p>
    <w:sectPr w:rsidR="00A7711C" w:rsidSect="005E5574">
      <w:headerReference w:type="even" r:id="rId9"/>
      <w:headerReference w:type="default" r:id="rId10"/>
      <w:headerReference w:type="first" r:id="rId11"/>
      <w:pgSz w:w="11906" w:h="16838" w:code="9"/>
      <w:pgMar w:top="1417" w:right="1701" w:bottom="1417" w:left="1701" w:header="2381" w:footer="2324" w:gutter="0"/>
      <w:cols w:space="22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8AFF" w14:textId="77777777" w:rsidR="00636888" w:rsidRDefault="00636888" w:rsidP="005E5574">
      <w:pPr>
        <w:spacing w:line="240" w:lineRule="auto"/>
      </w:pPr>
      <w:r>
        <w:separator/>
      </w:r>
    </w:p>
  </w:endnote>
  <w:endnote w:type="continuationSeparator" w:id="0">
    <w:p w14:paraId="5B347098" w14:textId="77777777" w:rsidR="00636888" w:rsidRDefault="00636888" w:rsidP="005E5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E1BB" w14:textId="77777777" w:rsidR="00636888" w:rsidRDefault="00636888" w:rsidP="005E5574">
      <w:pPr>
        <w:spacing w:line="240" w:lineRule="auto"/>
      </w:pPr>
      <w:r>
        <w:separator/>
      </w:r>
    </w:p>
  </w:footnote>
  <w:footnote w:type="continuationSeparator" w:id="0">
    <w:p w14:paraId="17C04BEF" w14:textId="77777777" w:rsidR="00636888" w:rsidRDefault="00636888" w:rsidP="005E55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99A7C" w14:textId="77777777" w:rsidR="005E5574" w:rsidRDefault="005E5574" w:rsidP="00090B89">
    <w:pPr>
      <w:pStyle w:val="runningheadleft"/>
    </w:pPr>
    <w:r>
      <w:fldChar w:fldCharType="begin"/>
    </w:r>
    <w:r>
      <w:instrText>PAGE   \* MERGEFORMAT</w:instrText>
    </w:r>
    <w:r>
      <w:fldChar w:fldCharType="separate"/>
    </w:r>
    <w:r w:rsidRPr="00B23481">
      <w:rPr>
        <w:noProof/>
      </w:rPr>
      <w:t>2</w:t>
    </w:r>
    <w:r>
      <w:fldChar w:fldCharType="end"/>
    </w:r>
    <w:r>
      <w:t xml:space="preserve"> </w:t>
    </w:r>
    <w:r>
      <w:tab/>
      <w:t>A. G. Aguilar Hernandez</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38BA" w14:textId="56DDFC89" w:rsidR="005E5574" w:rsidRPr="00090B89" w:rsidRDefault="005E5574" w:rsidP="00090B89">
    <w:pPr>
      <w:pStyle w:val="runningheadright"/>
    </w:pPr>
    <w:r>
      <w:tab/>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B5BF" w14:textId="77777777" w:rsidR="005E5574" w:rsidRDefault="005E5574">
    <w:pPr>
      <w:pStyle w:val="Encabezado"/>
      <w:rPr>
        <w:lang w:val="es-MX"/>
      </w:rPr>
    </w:pPr>
  </w:p>
  <w:p w14:paraId="31DEE0E9" w14:textId="77777777" w:rsidR="005E5574" w:rsidRPr="005E5574" w:rsidRDefault="005E5574">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375424275">
    <w:abstractNumId w:val="0"/>
  </w:num>
  <w:num w:numId="2" w16cid:durableId="429087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74"/>
    <w:rsid w:val="00121142"/>
    <w:rsid w:val="004965DD"/>
    <w:rsid w:val="00552313"/>
    <w:rsid w:val="005E5574"/>
    <w:rsid w:val="00636888"/>
    <w:rsid w:val="00A7711C"/>
    <w:rsid w:val="00D107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8278"/>
  <w15:chartTrackingRefBased/>
  <w15:docId w15:val="{51051417-0526-4D42-824C-C7628172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574"/>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lang w:val="es-MX"/>
      <w14:ligatures w14:val="none"/>
    </w:rPr>
  </w:style>
  <w:style w:type="paragraph" w:styleId="Ttulo1">
    <w:name w:val="heading 1"/>
    <w:basedOn w:val="Normal"/>
    <w:next w:val="Normal"/>
    <w:link w:val="Ttulo1Car"/>
    <w:uiPriority w:val="9"/>
    <w:qFormat/>
    <w:rsid w:val="005E5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5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5E55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5E55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55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557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557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557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557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5574"/>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5E5574"/>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5E5574"/>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5E5574"/>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5E5574"/>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5E5574"/>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5E5574"/>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5E5574"/>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5E5574"/>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5E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5574"/>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5E55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5574"/>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5E5574"/>
    <w:pPr>
      <w:spacing w:before="160"/>
      <w:jc w:val="center"/>
    </w:pPr>
    <w:rPr>
      <w:i/>
      <w:iCs/>
      <w:color w:val="404040" w:themeColor="text1" w:themeTint="BF"/>
    </w:rPr>
  </w:style>
  <w:style w:type="character" w:customStyle="1" w:styleId="CitaCar">
    <w:name w:val="Cita Car"/>
    <w:basedOn w:val="Fuentedeprrafopredeter"/>
    <w:link w:val="Cita"/>
    <w:uiPriority w:val="29"/>
    <w:rsid w:val="005E5574"/>
    <w:rPr>
      <w:i/>
      <w:iCs/>
      <w:color w:val="404040" w:themeColor="text1" w:themeTint="BF"/>
      <w:lang w:val="es-MX"/>
    </w:rPr>
  </w:style>
  <w:style w:type="paragraph" w:styleId="Prrafodelista">
    <w:name w:val="List Paragraph"/>
    <w:basedOn w:val="Normal"/>
    <w:uiPriority w:val="34"/>
    <w:qFormat/>
    <w:rsid w:val="005E5574"/>
    <w:pPr>
      <w:ind w:left="720"/>
      <w:contextualSpacing/>
    </w:pPr>
  </w:style>
  <w:style w:type="character" w:styleId="nfasisintenso">
    <w:name w:val="Intense Emphasis"/>
    <w:basedOn w:val="Fuentedeprrafopredeter"/>
    <w:uiPriority w:val="21"/>
    <w:qFormat/>
    <w:rsid w:val="005E5574"/>
    <w:rPr>
      <w:i/>
      <w:iCs/>
      <w:color w:val="0F4761" w:themeColor="accent1" w:themeShade="BF"/>
    </w:rPr>
  </w:style>
  <w:style w:type="paragraph" w:styleId="Citadestacada">
    <w:name w:val="Intense Quote"/>
    <w:basedOn w:val="Normal"/>
    <w:next w:val="Normal"/>
    <w:link w:val="CitadestacadaCar"/>
    <w:uiPriority w:val="30"/>
    <w:qFormat/>
    <w:rsid w:val="005E5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5574"/>
    <w:rPr>
      <w:i/>
      <w:iCs/>
      <w:color w:val="0F4761" w:themeColor="accent1" w:themeShade="BF"/>
      <w:lang w:val="es-MX"/>
    </w:rPr>
  </w:style>
  <w:style w:type="character" w:styleId="Referenciaintensa">
    <w:name w:val="Intense Reference"/>
    <w:basedOn w:val="Fuentedeprrafopredeter"/>
    <w:uiPriority w:val="32"/>
    <w:qFormat/>
    <w:rsid w:val="005E5574"/>
    <w:rPr>
      <w:b/>
      <w:bCs/>
      <w:smallCaps/>
      <w:color w:val="0F4761" w:themeColor="accent1" w:themeShade="BF"/>
      <w:spacing w:val="5"/>
    </w:rPr>
  </w:style>
  <w:style w:type="paragraph" w:customStyle="1" w:styleId="abstract">
    <w:name w:val="abstract"/>
    <w:basedOn w:val="Normal"/>
    <w:rsid w:val="005E5574"/>
    <w:pPr>
      <w:spacing w:before="600" w:after="360" w:line="220" w:lineRule="atLeast"/>
      <w:ind w:left="567" w:right="567"/>
      <w:contextualSpacing/>
    </w:pPr>
    <w:rPr>
      <w:sz w:val="18"/>
    </w:rPr>
  </w:style>
  <w:style w:type="paragraph" w:customStyle="1" w:styleId="address">
    <w:name w:val="address"/>
    <w:basedOn w:val="Normal"/>
    <w:rsid w:val="005E5574"/>
    <w:pPr>
      <w:spacing w:after="200" w:line="220" w:lineRule="atLeast"/>
      <w:ind w:firstLine="0"/>
      <w:contextualSpacing/>
      <w:jc w:val="center"/>
    </w:pPr>
    <w:rPr>
      <w:sz w:val="18"/>
    </w:rPr>
  </w:style>
  <w:style w:type="paragraph" w:customStyle="1" w:styleId="author">
    <w:name w:val="author"/>
    <w:basedOn w:val="Normal"/>
    <w:next w:val="address"/>
    <w:rsid w:val="005E5574"/>
    <w:pPr>
      <w:spacing w:after="200" w:line="220" w:lineRule="atLeast"/>
      <w:ind w:firstLine="0"/>
      <w:jc w:val="center"/>
    </w:pPr>
  </w:style>
  <w:style w:type="character" w:customStyle="1" w:styleId="e-mail">
    <w:name w:val="e-mail"/>
    <w:basedOn w:val="Fuentedeprrafopredeter"/>
    <w:rsid w:val="005E5574"/>
    <w:rPr>
      <w:rFonts w:ascii="Courier" w:hAnsi="Courier"/>
      <w:noProof/>
    </w:rPr>
  </w:style>
  <w:style w:type="paragraph" w:customStyle="1" w:styleId="equation">
    <w:name w:val="equation"/>
    <w:basedOn w:val="Normal"/>
    <w:next w:val="Normal"/>
    <w:rsid w:val="005E5574"/>
    <w:pPr>
      <w:tabs>
        <w:tab w:val="center" w:pos="3289"/>
        <w:tab w:val="right" w:pos="6917"/>
      </w:tabs>
      <w:spacing w:before="160" w:after="160"/>
      <w:ind w:firstLine="0"/>
    </w:pPr>
  </w:style>
  <w:style w:type="paragraph" w:customStyle="1" w:styleId="figurecaption">
    <w:name w:val="figurecaption"/>
    <w:basedOn w:val="Normal"/>
    <w:next w:val="Normal"/>
    <w:rsid w:val="005E5574"/>
    <w:pPr>
      <w:keepLines/>
      <w:spacing w:before="120" w:after="240" w:line="220" w:lineRule="atLeast"/>
      <w:ind w:firstLine="0"/>
      <w:jc w:val="center"/>
    </w:pPr>
    <w:rPr>
      <w:sz w:val="18"/>
    </w:rPr>
  </w:style>
  <w:style w:type="paragraph" w:customStyle="1" w:styleId="heading1">
    <w:name w:val="heading1"/>
    <w:basedOn w:val="Normal"/>
    <w:next w:val="p1a"/>
    <w:qFormat/>
    <w:rsid w:val="005E5574"/>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5E5574"/>
    <w:pPr>
      <w:keepNext/>
      <w:keepLines/>
      <w:numPr>
        <w:ilvl w:val="1"/>
        <w:numId w:val="1"/>
      </w:numPr>
      <w:suppressAutoHyphens/>
      <w:spacing w:before="360" w:after="160"/>
      <w:jc w:val="left"/>
      <w:outlineLvl w:val="1"/>
    </w:pPr>
    <w:rPr>
      <w:b/>
    </w:rPr>
  </w:style>
  <w:style w:type="character" w:customStyle="1" w:styleId="heading3">
    <w:name w:val="heading3"/>
    <w:basedOn w:val="Fuentedeprrafopredeter"/>
    <w:rsid w:val="005E5574"/>
    <w:rPr>
      <w:b/>
    </w:rPr>
  </w:style>
  <w:style w:type="paragraph" w:customStyle="1" w:styleId="acknowlegments">
    <w:name w:val="acknowlegments"/>
    <w:basedOn w:val="Normal"/>
    <w:qFormat/>
    <w:rsid w:val="005E5574"/>
    <w:pPr>
      <w:spacing w:before="240" w:line="220" w:lineRule="atLeast"/>
      <w:ind w:firstLine="0"/>
    </w:pPr>
    <w:rPr>
      <w:sz w:val="18"/>
    </w:rPr>
  </w:style>
  <w:style w:type="character" w:customStyle="1" w:styleId="heading4">
    <w:name w:val="heading4"/>
    <w:basedOn w:val="Fuentedeprrafopredeter"/>
    <w:rsid w:val="005E5574"/>
    <w:rPr>
      <w:i/>
    </w:rPr>
  </w:style>
  <w:style w:type="numbering" w:customStyle="1" w:styleId="headings">
    <w:name w:val="headings"/>
    <w:basedOn w:val="Sinlista"/>
    <w:rsid w:val="005E5574"/>
    <w:pPr>
      <w:numPr>
        <w:numId w:val="1"/>
      </w:numPr>
    </w:pPr>
  </w:style>
  <w:style w:type="character" w:styleId="Hipervnculo">
    <w:name w:val="Hyperlink"/>
    <w:basedOn w:val="Fuentedeprrafopredeter"/>
    <w:semiHidden/>
    <w:unhideWhenUsed/>
    <w:rsid w:val="005E5574"/>
    <w:rPr>
      <w:color w:val="auto"/>
      <w:u w:val="none"/>
    </w:rPr>
  </w:style>
  <w:style w:type="paragraph" w:customStyle="1" w:styleId="keywords">
    <w:name w:val="keywords"/>
    <w:basedOn w:val="abstract"/>
    <w:next w:val="heading1"/>
    <w:rsid w:val="005E5574"/>
    <w:pPr>
      <w:spacing w:before="220"/>
      <w:ind w:firstLine="0"/>
      <w:contextualSpacing w:val="0"/>
      <w:jc w:val="left"/>
    </w:pPr>
  </w:style>
  <w:style w:type="paragraph" w:styleId="Encabezado">
    <w:name w:val="header"/>
    <w:basedOn w:val="Normal"/>
    <w:link w:val="EncabezadoCar"/>
    <w:unhideWhenUsed/>
    <w:rsid w:val="005E5574"/>
    <w:pPr>
      <w:tabs>
        <w:tab w:val="center" w:pos="4536"/>
        <w:tab w:val="right" w:pos="9072"/>
      </w:tabs>
      <w:ind w:firstLine="0"/>
    </w:pPr>
    <w:rPr>
      <w:sz w:val="18"/>
      <w:szCs w:val="18"/>
    </w:rPr>
  </w:style>
  <w:style w:type="character" w:customStyle="1" w:styleId="EncabezadoCar">
    <w:name w:val="Encabezado Car"/>
    <w:basedOn w:val="Fuentedeprrafopredeter"/>
    <w:link w:val="Encabezado"/>
    <w:rsid w:val="005E5574"/>
    <w:rPr>
      <w:rFonts w:ascii="Times New Roman" w:eastAsia="Times New Roman" w:hAnsi="Times New Roman" w:cs="Times New Roman"/>
      <w:kern w:val="0"/>
      <w:sz w:val="18"/>
      <w:szCs w:val="18"/>
      <w:lang w:val="es-MX"/>
      <w14:ligatures w14:val="none"/>
    </w:rPr>
  </w:style>
  <w:style w:type="paragraph" w:customStyle="1" w:styleId="p1a">
    <w:name w:val="p1a"/>
    <w:basedOn w:val="Normal"/>
    <w:next w:val="Normal"/>
    <w:rsid w:val="005E5574"/>
    <w:pPr>
      <w:ind w:firstLine="0"/>
    </w:pPr>
  </w:style>
  <w:style w:type="paragraph" w:customStyle="1" w:styleId="referenceitem">
    <w:name w:val="referenceitem"/>
    <w:basedOn w:val="Normal"/>
    <w:rsid w:val="005E5574"/>
    <w:pPr>
      <w:numPr>
        <w:numId w:val="2"/>
      </w:numPr>
      <w:spacing w:line="220" w:lineRule="atLeast"/>
    </w:pPr>
    <w:rPr>
      <w:sz w:val="18"/>
    </w:rPr>
  </w:style>
  <w:style w:type="numbering" w:customStyle="1" w:styleId="referencelist">
    <w:name w:val="referencelist"/>
    <w:basedOn w:val="Sinlista"/>
    <w:semiHidden/>
    <w:rsid w:val="005E5574"/>
    <w:pPr>
      <w:numPr>
        <w:numId w:val="2"/>
      </w:numPr>
    </w:pPr>
  </w:style>
  <w:style w:type="paragraph" w:customStyle="1" w:styleId="runningheadleft">
    <w:name w:val="runninghead left"/>
    <w:basedOn w:val="Normal"/>
    <w:rsid w:val="005E5574"/>
    <w:pPr>
      <w:tabs>
        <w:tab w:val="left" w:pos="680"/>
      </w:tabs>
      <w:ind w:firstLine="0"/>
      <w:jc w:val="left"/>
    </w:pPr>
    <w:rPr>
      <w:sz w:val="18"/>
      <w:szCs w:val="18"/>
    </w:rPr>
  </w:style>
  <w:style w:type="paragraph" w:customStyle="1" w:styleId="runningheadright">
    <w:name w:val="runninghead right"/>
    <w:basedOn w:val="Normal"/>
    <w:rsid w:val="005E5574"/>
    <w:pPr>
      <w:tabs>
        <w:tab w:val="right" w:pos="6237"/>
        <w:tab w:val="right" w:pos="6917"/>
      </w:tabs>
      <w:ind w:firstLine="0"/>
      <w:jc w:val="left"/>
    </w:pPr>
    <w:rPr>
      <w:bCs/>
      <w:sz w:val="18"/>
      <w:szCs w:val="18"/>
    </w:rPr>
  </w:style>
  <w:style w:type="paragraph" w:customStyle="1" w:styleId="papertitle">
    <w:name w:val="papertitle"/>
    <w:basedOn w:val="Normal"/>
    <w:next w:val="author"/>
    <w:rsid w:val="005E5574"/>
    <w:pPr>
      <w:keepNext/>
      <w:keepLines/>
      <w:suppressAutoHyphens/>
      <w:spacing w:after="480" w:line="360" w:lineRule="atLeast"/>
      <w:ind w:firstLine="0"/>
      <w:jc w:val="center"/>
    </w:pPr>
    <w:rPr>
      <w:b/>
      <w:sz w:val="28"/>
    </w:rPr>
  </w:style>
  <w:style w:type="paragraph" w:customStyle="1" w:styleId="tablecaption">
    <w:name w:val="tablecaption"/>
    <w:basedOn w:val="Normal"/>
    <w:next w:val="Normal"/>
    <w:rsid w:val="005E5574"/>
    <w:pPr>
      <w:keepNext/>
      <w:keepLines/>
      <w:spacing w:before="240" w:after="120" w:line="220" w:lineRule="atLeast"/>
      <w:ind w:firstLine="0"/>
      <w:jc w:val="center"/>
    </w:pPr>
    <w:rPr>
      <w:sz w:val="18"/>
    </w:rPr>
  </w:style>
  <w:style w:type="character" w:customStyle="1" w:styleId="ORCID">
    <w:name w:val="ORCID"/>
    <w:basedOn w:val="Fuentedeprrafopredeter"/>
    <w:rsid w:val="005E5574"/>
    <w:rPr>
      <w:position w:val="0"/>
      <w:vertAlign w:val="superscript"/>
    </w:rPr>
  </w:style>
  <w:style w:type="paragraph" w:styleId="Piedepgina">
    <w:name w:val="footer"/>
    <w:basedOn w:val="Normal"/>
    <w:link w:val="PiedepginaCar"/>
    <w:uiPriority w:val="99"/>
    <w:unhideWhenUsed/>
    <w:rsid w:val="005E557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E5574"/>
    <w:rPr>
      <w:rFonts w:ascii="Times New Roman" w:eastAsia="Times New Roman" w:hAnsi="Times New Roman" w:cs="Times New Roman"/>
      <w:kern w:val="0"/>
      <w:sz w:val="20"/>
      <w:szCs w:val="20"/>
      <w:lang w:val="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Img1" Type="http://schemas.openxmlformats.org/officeDocument/2006/relationships/image" Target="media/convergencia.png"/><Relationship Id="rIdImg2" Type="http://schemas.openxmlformats.org/officeDocument/2006/relationships/image" Target="media/dispersion.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550</Words>
  <Characters>3025</Characters>
  <Application>Microsoft Office Word</Application>
  <DocSecurity>0</DocSecurity>
  <Lines>25</Lines>
  <Paragraphs>7</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Hill Climbing, sus variantes y Recocido Simulado en la función esfera</dc:title>
  <dc:subject/>
  <dc:creator>Angel Gabriel Aguilar Hernandez</dc:creator>
  <cp:keywords/>
  <dc:description/>
  <cp:lastModifiedBy>Angel Gabriel Aguilar Hernandez</cp:lastModifiedBy>
  <cp:revision>1</cp:revision>
  <dcterms:created xsi:type="dcterms:W3CDTF">2026-10-12T02:24:22Z</dcterms:created>
  <dcterms:modified xsi:type="dcterms:W3CDTF">2026-10-12T02:24:22Z</dcterms:modified>
</cp:coreProperties>
</file>