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de la plantilla de pruebas frente a ISO 29119</w:t>
      </w:r>
    </w:p>
    <w:p>
      <w:pPr>
        <w:pStyle w:val="Subtitle"/>
      </w:pPr>
      <w:r>
        <w:t>Observaciones de cobertura, brechas y mejoras recomendadas</w:t>
      </w:r>
    </w:p>
    <w:p>
      <w:r>
        <w:t>Fecha de revisión: 7 de septiembre de 2026</w:t>
      </w:r>
    </w:p>
    <w:p>
      <w:pPr>
        <w:pStyle w:val="Heading1"/>
      </w:pPr>
      <w:r>
        <w:t>1 Propósito y dictamen</w:t>
      </w:r>
    </w:p>
    <w:p>
      <w:r>
        <w:t>La plantilla sirve como base para planificar las pruebas y documentar su cierre en un proyecto académico. Su estructura es aprovechable, pero requiere completar los mecanismos de seguimiento, diseño detallado, registro de ejecución y gestión de incidentes para apoyar el proceso de principio a fin.</w:t>
      </w:r>
    </w:p>
    <w:p>
      <w:r>
        <w:t>El dictamen es favorable para su uso con ajustes. No es necesario rehacerla desde cero. Tampoco basta con llenar sus apartados para demostrar la aplicación completa de ISO/IEC/IEEE 29119: deben existir actividades realizadas, decisiones y evidencias trazables.</w:t>
      </w:r>
    </w:p>
    <w:p>
      <w:pPr>
        <w:pStyle w:val="Heading2"/>
      </w:pPr>
      <w:r>
        <w:t>Material revisado</w:t>
      </w:r>
    </w:p>
    <w:p>
      <w:r>
        <w:t>Se examinó el contenido de PS-PLANTILLAPlanPruebas_Ver011025.docx y las secciones de procesos del documento Plan de  trabajo 29119 - AngelAguilar.pdf. Se contrastaron con los diagramas normal general.png, tenicas de prueba.png y Procesos de prueba.png. Los apartados citados en este informe corresponden al Word original; cuando se indica Parte II, se trata de su reporte de finalización.</w:t>
      </w:r>
    </w:p>
    <w:p>
      <w:pPr>
        <w:pStyle w:val="Heading2"/>
      </w:pPr>
      <w:r>
        <w:t>Alcance de la evaluación</w:t>
      </w:r>
    </w:p>
    <w:p>
      <w:r>
        <w:t>Esta revisión valora el contenido y la utilidad práctica de la plantilla. No constituye una auditoría formal de conformidad ni una evaluación de un plan ya cumplimentado. Las fichas oficiales consultadas permiten confirmar el alcance de las partes de la norma, pero una declaración formal requeriría revisar el texto normativo completo de la edición elegida y las evidencias de aplicación.</w:t>
      </w:r>
    </w:p>
    <w:p>
      <w:pPr>
        <w:pStyle w:val="Heading2"/>
      </w:pPr>
      <w:r>
        <w:t>Cómo interpretar los estados</w:t>
      </w:r>
    </w:p>
    <w:p>
      <w:r>
        <w:t>Presente: existe un apartado explícito. Parcial: existe una base, pero no desarrolla todos los elementos operativos. Ausente: no se encontró un apartado o formato explícito en el archivo. La ausencia de un documento independiente no implica por sí misma incumplimiento: la información puede mantenerse en anexos o herramientas referenciadas.</w:t>
      </w:r>
    </w:p>
    <w:p>
      <w:pPr>
        <w:pStyle w:val="Heading2"/>
      </w:pPr>
      <w:r>
        <w:t>Relación entre las partes de la norma</w:t>
      </w:r>
    </w:p>
    <w:p>
      <w:r>
        <w:t>La Parte 2 describe los procesos de prueba; la Parte 3 describe su documentación; la Parte 4 define técnicas de diseño. Por ello, el contenido de un plan no sustituye los registros que se producen al diseñar, ejecutar, controlar y cerrar las pruebas. Las referencias oficiales se incluyen al final.</w:t>
      </w:r>
    </w:p>
    <w:p>
      <w:r>
        <w:br w:type="page"/>
      </w:r>
    </w:p>
    <w:p>
      <w:pPr>
        <w:pStyle w:val="Heading1"/>
      </w:pPr>
      <w:r>
        <w:t>2 Partes que la plantilla ya contiene</w:t>
      </w:r>
    </w:p>
    <w:p>
      <w:r>
        <w:t>La siguiente matriz identifica la estructura existente y su utilidad. Tener un apartado no demuestra todavía que su contenido se haya aplicado o completado correctamente.</w:t>
      </w:r>
    </w:p>
    <w:tbl>
      <w:tblPr>
        <w:tblW w:type="auto" w:w="0"/>
        <w:jc w:val="center"/>
        <w:tblLayout w:type="fixed"/>
        <w:tblLook w:firstColumn="1" w:firstRow="1" w:lastColumn="0" w:lastRow="0" w:noHBand="0" w:noVBand="1" w:val="04A0"/>
      </w:tblPr>
      <w:tblGrid>
        <w:gridCol w:w="3312"/>
        <w:gridCol w:w="1008"/>
        <w:gridCol w:w="5760"/>
      </w:tblGrid>
      <w:tr>
        <w:trPr>
          <w:tblHeade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Elemento y ubicación</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Estado</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Valor y observación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Portada, historial y revisiones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Identifica proyecto, equipo, autores, versiones y revisiones. Conviene distinguir revisión de aprobación formal.</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Introducción, referentes y glosario · 1.1–1.3</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Proporciona contexto documental y vocabulario. Debe precisarse la edición de cada norma y la versión de las fuentes técnicas.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Contexto, objetivo y alcance · 2.1–2.3</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Incluye elementos, versiones y exclusiones. Requiere ampliar el alcance funcional y aclarar qué se entiende por elemento de prueba.</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Supuestos e interesados · 2.4–2.5</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Registra restricciones, políticas del curso y expectativas de interesados. Hay que separar reglas académicas de referencias normativas.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Puntos de revisión · 3</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Parcial</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Organiza entregas del curso, pero no define el monitoreo continuo ni las acciones de control.</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Riesgos · 4.1–4.2</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Distingue producto y proyecto en los títulos; la explicación del riesgo de producto necesita corregirse.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Estrategia · 5.1–5.10</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Incluye niveles, entregables, técnicas, finalización, métricas, datos, entorno, repetición, regresión, suspensión y desviaciones.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Actividades, equipo y calendario · 6–8</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Permite estimar esfuerzo, asignar responsabilidades y calendarizar. Conviene añadir dependencias, disponibilidad y competencias.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Reporte de finalización · Parte II</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Presente</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Incluye resumen, evaluación, métricas, riesgos residuales, entregables, activos reutilizables y lecciones aprendidas.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Procedimientos y casos · Anexos A y B</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Parcial</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Solicita incorporarlos, pero no proporciona campos o formatos listos para documentarlos.</w:t>
            </w:r>
          </w:p>
        </w:tc>
      </w:tr>
    </w:tbl>
    <w:p>
      <w:pPr>
        <w:spacing w:before="160"/>
      </w:pPr>
      <w:r>
        <w:t>Fortalezas que deben conservarse: separación entre planificación y cierre, control de versiones, identificación de interesados, consideración de riesgos, justificación de técnicas y recuperación de lecciones aprendidas.</w:t>
      </w:r>
    </w:p>
    <w:p>
      <w:r>
        <w:br w:type="page"/>
      </w:r>
    </w:p>
    <w:p>
      <w:pPr>
        <w:pStyle w:val="Heading1"/>
      </w:pPr>
      <w:r>
        <w:t>3 Partes ausentes o insuficientemente desarrolladas</w:t>
      </w:r>
    </w:p>
    <w:p>
      <w:r>
        <w:t>Estas brechas afectan la posibilidad de reconstruir qué se probó, en qué condiciones, con qué resultados y qué decisiones se tomaron.</w:t>
      </w:r>
    </w:p>
    <w:tbl>
      <w:tblPr>
        <w:tblW w:type="auto" w:w="0"/>
        <w:jc w:val="center"/>
        <w:tblLayout w:type="fixed"/>
        <w:tblLook w:firstColumn="1" w:firstRow="1" w:lastColumn="0" w:lastRow="0" w:noHBand="0" w:noVBand="1" w:val="04A0"/>
      </w:tblPr>
      <w:tblGrid>
        <w:gridCol w:w="2520"/>
        <w:gridCol w:w="1008"/>
        <w:gridCol w:w="6552"/>
      </w:tblGrid>
      <w:tr>
        <w:trPr>
          <w:tblHeade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Parte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Estado</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Mejora concreta</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Criterios de entrada</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Ausente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Definir condiciones para iniciar cada nivel o ciclo: versión identificada, casos revisados, entorno y datos disponibles; indicar quién verifica.</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Seguimiento y control</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Parcial</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Ampliar el apartado 3: frecuencia, responsables, avance previsto/real, bloqueos, riesgos nuevos, decisiones y reglas de replanificación.</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Informe de estado</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Ausente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Incluir un formato periódico con avance, cobertura, incidentes, consumo de esfuerzo y acciones pendientes.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Registro de ejecución</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Ausente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Registrar caso, ejecución, fecha, ejecutor, versión, entorno, resultado real, veredicto, evidencia e incidente asociado.</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Gestión de incidentes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Ausente</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Definir formato, estados, responsables, severidad, prioridad, comunicación y tratamiento de incidentes abiertos.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Diseño y trazabilidad</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Parcial</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Ampliar 2.2 y 5.3 con condiciones, modelos o elementos de cobertura y relación con requisitos, riesgos, casos y resultados.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Casos y procedimientos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Parcial</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Completar anexos A y B con identificadores, precondiciones, datos, pasos, resultados esperados y condiciones de limpieza.</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Disponibilidad de entorno y datos</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Parcial</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Complementar 5.6–5.7 con comprobación de preparación, versiones, responsable, mantenimiento y restauración entre ejecuciones.</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Control de configuración</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Parcial</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Además del historial del Word, identificar versiones de software, casos, scripts, datos y entorno usadas en cada ejecución.</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Archivo y limpieza al cierre</w:t>
            </w:r>
          </w:p>
        </w:tc>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Parcial</w:t>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Indicar repositorio, responsables y activos conservados; restaurar o liberar entorno y tratar los datos conforme a lo acordado.</w:t>
            </w:r>
          </w:p>
        </w:tc>
      </w:tr>
    </w:tbl>
    <w:p>
      <w:pPr>
        <w:spacing w:before="160"/>
      </w:pPr>
      <w:r>
        <w:t>No es necesario crear un archivo separado para cada registro. Pueden utilizarse tablas, anexos o una herramienta de gestión, siempre que el plan indique dónde están, quién los mantiene y cómo se relacionan.</w:t>
      </w:r>
    </w:p>
    <w:p>
      <w:r>
        <w:br w:type="page"/>
      </w:r>
    </w:p>
    <w:p>
      <w:pPr>
        <w:pStyle w:val="Heading1"/>
      </w:pPr>
      <w:r>
        <w:t>4 Instrucciones que conviene corregir</w:t>
      </w:r>
    </w:p>
    <w:p>
      <w:pPr>
        <w:pStyle w:val="Heading2"/>
      </w:pPr>
      <w:r>
        <w:t>4.1 Diferenciar riesgos del producto y del proyecto</w:t>
      </w:r>
    </w:p>
    <w:p>
      <w:r>
        <w:t>En 4.1, el riesgo del producto se explica principalmente por su efecto sobre el tiempo y el desarrollo de la prueba. Debe centrarse en consecuencias de fallos del software sobre usuarios, negocio, datos, seguridad u otros objetivos. Ejemplo de producto: un cálculo erróneo cobra de más al cliente. Ejemplo de proyecto: la indisponibilidad del entorno retrasa la ejecución. Ambos pueden evaluarse por probabilidad e impacto, pero el impacto no tiene el mismo significado.</w:t>
      </w:r>
    </w:p>
    <w:p>
      <w:pPr>
        <w:pStyle w:val="Heading2"/>
      </w:pPr>
      <w:r>
        <w:t>4.2 Incluir alcance funcional y no funcional</w:t>
      </w:r>
    </w:p>
    <w:p>
      <w:r>
        <w:t>El apartado 2.3 orienta las características a probar hacia requisitos no funcionales. Debe solicitar expresamente ambos tipos: funcionales, como calcular un total o autorizar una operación; y no funcionales, como rendimiento, seguridad o usabilidad. Las exclusiones deben justificarse y relacionarse con sus riesgos.</w:t>
      </w:r>
    </w:p>
    <w:p>
      <w:pPr>
        <w:pStyle w:val="Heading2"/>
      </w:pPr>
      <w:r>
        <w:t>4.3 Distinguir el objeto y la base de prueba</w:t>
      </w:r>
    </w:p>
    <w:p>
      <w:r>
        <w:t>El apartado 2.2 equipara los elementos de prueba con casos de uso. Conviene identificar por separado el objeto bajo prueba —módulo, API, componente, interfaz o sistema— y la base usada para evaluarlo —requisitos, historias, casos de uso, reglas o diseño—. Esto facilita aplicar la plantilla a proyectos diferentes.</w:t>
      </w:r>
    </w:p>
    <w:p>
      <w:pPr>
        <w:pStyle w:val="Heading2"/>
      </w:pPr>
      <w:r>
        <w:t>4.4 Definir la cobertura y su denominador</w:t>
      </w:r>
    </w:p>
    <w:p>
      <w:r>
        <w:t>Los porcentajes 100 %, 80 %, 60 % y 40 % de 2.4 están presentados como requisitos del curso. Deben conservar esa identificación y no atribuirse como umbrales universales de ISO 29119. Debe indicarse si la cobertura mide requisitos, escenarios, particiones, ramas u otros elementos. La proporción de casos ejecutados es avance de ejecución y no equivale automáticamente a cobertura de requisitos.</w:t>
      </w:r>
    </w:p>
    <w:p>
      <w:pPr>
        <w:pStyle w:val="Heading2"/>
      </w:pPr>
      <w:r>
        <w:t>4.5 Justificar el uso de SIL</w:t>
      </w:r>
    </w:p>
    <w:p>
      <w:r>
        <w:t>Las etiquetas catastrófico, crítico, marginal y despreciable requieren una definición y un método de asignación. Si representan criticidad académica, debe decirse expresamente. No deben tratarse como un esquema normativo de niveles de integridad sin explicar sus requisitos y fundamento. La referencia sobre niveles de integridad es ISO/IEC/IEEE 15026-3, incluida en las fuentes.</w:t>
      </w:r>
    </w:p>
    <w:p>
      <w:pPr>
        <w:pStyle w:val="Heading2"/>
      </w:pPr>
      <w:r>
        <w:t>4.6 Separar finalización y aceptación</w:t>
      </w:r>
    </w:p>
    <w:p>
      <w:r>
        <w:t>El apartado 5.4 favorece terminar por cobertura y la Parte II relaciona la garantía de calidad con ella. Deben distinguirse actividades completadas, resultados obtenidos y aceptación del riesgo residual. Ejecutar todos los casos, aun cuando fallen, no demuestra que el producto sea aceptable. La decisión debe considerar defectos abiertos, severidad, resultados, cobertura relevante y autoridad de aceptación.</w:t>
      </w:r>
    </w:p>
    <w:p>
      <w:r>
        <w:br w:type="page"/>
      </w:r>
    </w:p>
    <w:p>
      <w:pPr>
        <w:pStyle w:val="Heading1"/>
      </w:pPr>
      <w:r>
        <w:t>5 Ajustes de contexto y de los diagramas</w:t>
      </w:r>
    </w:p>
    <w:p>
      <w:pPr>
        <w:pStyle w:val="Heading2"/>
      </w:pPr>
      <w:r>
        <w:t>5.1 Separar reglas del curso de la norma</w:t>
      </w:r>
    </w:p>
    <w:p>
      <w:r>
        <w:t>Las tres entregas, las dos métricas de cada tipo, la aprobación del profesor y la decisión de no reparar defectos son condiciones académicas. Son válidas para el curso, pero deben identificarse como políticas locales. Para reutilizar la plantilla, sustituirlas por campos configurables: hitos, métricas justificadas, autoridad de aprobación y alcance del tratamiento de defectos.</w:t>
      </w:r>
    </w:p>
    <w:p>
      <w:pPr>
        <w:pStyle w:val="Heading2"/>
      </w:pPr>
      <w:r>
        <w:t>5.2 Precisar referencias y niveles de prueba</w:t>
      </w:r>
    </w:p>
    <w:p>
      <w:r>
        <w:t>La referencia al Anexo A, páginas 32–38, de la Parte 4 queda ambigua sin año de edición. Conviene citar edición y cláusula o anexo verificados. En 5.1, separar claramente componente, integración, sistema y aceptación; elegir y justificar los niveles aplicables, sin asumir que todos deben ejecutarse en cualquier proyecto.</w:t>
      </w:r>
    </w:p>
    <w:p>
      <w:pPr>
        <w:pStyle w:val="Heading2"/>
      </w:pPr>
      <w:r>
        <w:t>5.3 Resolver el tratamiento de correcciones</w:t>
      </w:r>
    </w:p>
    <w:p>
      <w:r>
        <w:t>La plantilla indica que no se pretende reparar defectos, pero también pide planificar repetición y regresión. No es una contradicción inevitable: se debe explicar si el equipo solo reportará hallazgos y si repetirá pruebas cuando el desarrollador entregue una corrección. Si no habrá correcciones durante el curso, registrar esa limitación y los defectos pendientes al cierre.</w:t>
      </w:r>
    </w:p>
    <w:p>
      <w:pPr>
        <w:pStyle w:val="Heading2"/>
      </w:pPr>
      <w:r>
        <w:t>5.4 Corregir la cobertura mínima del diagrama de técnicas</w:t>
      </w:r>
    </w:p>
    <w:p>
      <w:r>
        <w:t>El diagrama muestra 100 % como cobertura mínima para sentencias y decisiones. Debe presentarse como un objetivo definido para el proyecto o el ejercicio, con su justificación. No hay base en los materiales examinados para atribuir ese mínimo universal a ISO 29119. Alcanzar una cobertura concreta tampoco prueba la ausencia de defectos.</w:t>
      </w:r>
    </w:p>
    <w:p>
      <w:pPr>
        <w:pStyle w:val="Heading2"/>
      </w:pPr>
      <w:r>
        <w:t>5.5 Distinguir confirmación y regresión</w:t>
      </w:r>
    </w:p>
    <w:p>
      <w:r>
        <w:t>En el diagrama de procesos, “Verificar correcciones” se asocia a regresión. La confirmación o retesting comprueba que el defecto original quedó corregido; la regresión busca efectos adversos del cambio en comportamientos previamente probados. Conviene mostrar ambas actividades cuando correspondan. Esta distinción también debe conservarse en 5.8.</w:t>
      </w:r>
    </w:p>
    <w:p>
      <w:pPr>
        <w:pStyle w:val="Heading2"/>
      </w:pPr>
      <w:r>
        <w:t>5.6 Representar el flujo como iterativo</w:t>
      </w:r>
    </w:p>
    <w:p>
      <w:r>
        <w:t>El diagrama de procesos sirve como resumen, pero debe evitar interpretarse como una secuencia rígida. El seguimiento acompaña la ejecución; los incidentes y riesgos nuevos pueden cambiar prioridades y reabrir la planificación. El PDF ya explica esta retroalimentación, por lo que conviene reflejarla al usar el diagrama como guía operativa.</w:t>
      </w:r>
    </w:p>
    <w:p>
      <w:r>
        <w:t>La falta de un apartado sobre pruebas por palabras clave no invalida la plantilla. Esa técnica o enfoque debe incorporarse si se utiliza. Del mismo modo, no es necesario incluir todas las técnicas del diagrama: hay que elegir las pertinentes y justificar su relación con los objetivos y riesgos.</w:t>
      </w:r>
    </w:p>
    <w:p>
      <w:r>
        <w:br w:type="page"/>
      </w:r>
    </w:p>
    <w:p>
      <w:pPr>
        <w:pStyle w:val="Heading1"/>
      </w:pPr>
      <w:r>
        <w:t>6 Mejoras prioritarias y formatos propuestos</w:t>
      </w:r>
    </w:p>
    <w:p>
      <w:r>
        <w:t>La siguiente secuencia permite mejorar la plantilla conservando su estructura. Las prioridades son recomendaciones prácticas de esta evaluación, no categorías impuestas por la norma.</w:t>
      </w:r>
    </w:p>
    <w:tbl>
      <w:tblPr>
        <w:tblW w:type="auto" w:w="0"/>
        <w:jc w:val="center"/>
        <w:tblLayout w:type="fixed"/>
        <w:tblLook w:firstColumn="1" w:firstRow="1" w:lastColumn="0" w:lastRow="0" w:noHBand="0" w:noVBand="1" w:val="04A0"/>
      </w:tblPr>
      <w:tblGrid>
        <w:gridCol w:w="1008"/>
        <w:gridCol w:w="5544"/>
        <w:gridCol w:w="3528"/>
      </w:tblGrid>
      <w:tr>
        <w:trPr>
          <w:tblHeade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Prioridad</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Acción</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7365D"/>
          </w:tcPr>
          <w:p>
            <w:pPr>
              <w:spacing w:after="60" w:line="240" w:lineRule="auto"/>
            </w:pPr>
            <w:r>
              <w:rPr>
                <w:b/>
                <w:color w:val="FFFFFF"/>
                <w:sz w:val="19"/>
              </w:rPr>
              <w:t>Ubicación sugerida</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Alta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Corregir alcance, riesgos, criticidad y definición de cobertura.</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2.2–2.4 y 4.1–4.2</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Alta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Agregar criterios de entrada y separar cierre de aceptación.</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Nuevo 5.11; 5.4 y Parte II.2</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Alta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Definir casos, procedimientos, registro de ejecución e incidentes.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Completar A–B y añadir C–D</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Alta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Establecer seguimiento, responsables y replanificación.</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Ampliar 3; añadir informe de estado</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Media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Completar trazabilidad desde requisitos y riesgos hasta resultados.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2.2, 5.3 y matriz anexa</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Media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Verificar entorno y datos; controlar sus versiones y cambios.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5.6–5.7 y registro de preparación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Media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Concretar aprobación, archivo y limpieza al cierre.</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8"/>
          </w:tcPr>
          <w:p>
            <w:pPr>
              <w:spacing w:after="60" w:line="240" w:lineRule="auto"/>
            </w:pPr>
            <w:r>
              <w:rPr>
                <w:sz w:val="19"/>
              </w:rPr>
              <w:t>Revisiones; Parte II.5–6</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Media</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Precisar ediciones normativas y parametrizar reglas académicas.</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sz w:val="19"/>
              </w:rPr>
              <w:t>1.2, 2.4, 3, 5.5 y 5.10</w:t>
            </w:r>
          </w:p>
        </w:tc>
      </w:tr>
    </w:tbl>
    <w:p>
      <w:pPr>
        <w:pStyle w:val="Heading2"/>
        <w:spacing w:before="160"/>
      </w:pPr>
      <w:r>
        <w:t>Campos mínimos para los anexos</w:t>
      </w:r>
    </w:p>
    <w:p>
      <w:r>
        <w:t>Caso de prueba: ID, requisito y riesgo asociados, objetivo, técnica, precondiciones, datos de entrada, acciones y resultados esperados. Procedimiento: ID, casos incluidos, orden, preparación, pasos de ejecución y limpieza. El resultado real se conserva en la ejecución para permitir repetir el mismo caso sin sobrescribir su historial.</w:t>
      </w:r>
    </w:p>
    <w:p>
      <w:r>
        <w:t>Ejecución: ID, caso/procedimiento, versión, configuración, fecha, ejecutor, resultado real, estado y enlace a evidencia. Incidente: ID, descripción, esperado/obtenido, pasos de reproducción, versión y entorno, severidad, prioridad, responsable, estado y evidencias.</w:t>
      </w:r>
    </w:p>
    <w:p>
      <w:r>
        <w:t>Informe de estado: periodo, avance previsto/real, ejecutados/aprobados/fallidos/bloqueados, cobertura definida, incidentes relevantes, riesgos, esfuerzo y acciones con responsable y fecha. Preparación: entorno y datos requeridos, versiones, verificación, fecha y responsable.</w:t>
      </w:r>
    </w:p>
    <w:p>
      <w:pPr>
        <w:pStyle w:val="Heading2"/>
      </w:pPr>
      <w:r>
        <w:t>Ejemplo de trazabilidad</w:t>
      </w:r>
    </w:p>
    <w:p>
      <w:r>
        <w:t>REQ-01 → RIESGO-03 → COND-02 → CP-07 → EJ-014 → EVID-014 / INC-05. Los identificadores son ilustrativos: permiten rastrear un resultado hasta el requisito y riesgo que justificaron la prueba.</w:t>
      </w:r>
    </w:p>
    <w:p>
      <w:r>
        <w:br w:type="page"/>
      </w:r>
    </w:p>
    <w:p>
      <w:pPr>
        <w:pStyle w:val="Heading1"/>
      </w:pPr>
      <w:r>
        <w:t>7 Aplicación y conclusión</w:t>
      </w:r>
    </w:p>
    <w:p>
      <w:r>
        <w:t>Para el curso, se recomienda usar la plantilla y mantener sus reglas académicas identificadas. Antes de ejecutar, deben quedar listos los criterios de entrada, los casos y procedimientos, el entorno, los datos y los registros de resultados e incidentes. Durante las pruebas, el apartado de seguimiento debe mantenerse actualizado; al cierre, se contrastan los resultados con los criterios y se documentan riesgos pendientes.</w:t>
      </w:r>
    </w:p>
    <w:p>
      <w:r>
        <w:t>Para un proyecto profesional, además de las mejoras anteriores, deben ajustarse responsables, niveles, métricas, aprobaciones y herramientas a la organización. El plan puede referenciar políticas y registros externos sin reproducirlos completos. Las adaptaciones deben quedar identificadas y justificadas.</w:t>
      </w:r>
    </w:p>
    <w:p>
      <w:r>
        <w:t>Conclusión: la plantilla tiene una base sólida de planificación y cierre, pero un soporte operativo incompleto. Las mejoras propuestas permiten conectar lo planificado con lo ejecutado, los hallazgos y las decisiones. Su utilidad final depende de completar esos vínculos y conservar evidencias, no de aumentar el número de páginas.</w:t>
      </w:r>
    </w:p>
    <w:p>
      <w:pPr>
        <w:pStyle w:val="Heading1"/>
      </w:pPr>
      <w:r>
        <w:t>8 Material de referencia</w:t>
      </w:r>
    </w:p>
    <w:p>
      <w:r>
        <w:t>Documentos aportados: PS-PLANTILLAPlanPruebas_Ver011025.docx; Plan de  trabajo 29119 - AngelAguilar.pdf, secciones 1 y 2; diagramas normal general.png, tenicas de prueba.png y Procesos de prueba.png. Las indicaciones internas de la plantilla se analizaron como contenido y reglas del curso, no como instrucciones para elaborar este informe.</w:t>
      </w:r>
    </w:p>
    <w:p>
      <w:r>
        <w:t>Fuentes públicas consultadas el 7 de septiembre de 2026. Sustentan la distinción entre procesos, documentación, técnicas, niveles de integridad y conceptos de cobertura y repetición de pruebas.</w:t>
      </w:r>
    </w:p>
    <w:p>
      <w:pPr>
        <w:spacing w:after="160"/>
      </w:pPr>
      <w:hyperlink r:id="rId10">
        <w:r>
          <w:rPr>
            <w:color w:val="175A8A"/>
          </w:rPr>
          <w:t>ISO/IEC/IEEE 29119-2:2021 · Procesos de prueba</w:t>
        </w:r>
      </w:hyperlink>
    </w:p>
    <w:p>
      <w:pPr>
        <w:spacing w:after="160"/>
      </w:pPr>
      <w:hyperlink r:id="rId11">
        <w:r>
          <w:rPr>
            <w:color w:val="175A8A"/>
          </w:rPr>
          <w:t>ISO/IEC/IEEE 29119-3:2021 · Documentación de prueba</w:t>
        </w:r>
      </w:hyperlink>
    </w:p>
    <w:p>
      <w:pPr>
        <w:spacing w:after="160"/>
      </w:pPr>
      <w:hyperlink r:id="rId12">
        <w:r>
          <w:rPr>
            <w:color w:val="175A8A"/>
          </w:rPr>
          <w:t>ISO/IEC/IEEE 29119-4:2021 · Técnicas de prueba</w:t>
        </w:r>
      </w:hyperlink>
    </w:p>
    <w:p>
      <w:pPr>
        <w:spacing w:after="160"/>
      </w:pPr>
      <w:hyperlink r:id="rId13">
        <w:r>
          <w:rPr>
            <w:color w:val="175A8A"/>
          </w:rPr>
          <w:t>IEEE/ISO/IEC 15026-3:2023 · Niveles de integridad de sistemas</w:t>
        </w:r>
      </w:hyperlink>
    </w:p>
    <w:p>
      <w:pPr>
        <w:spacing w:after="160"/>
      </w:pPr>
      <w:hyperlink r:id="rId14">
        <w:r>
          <w:rPr>
            <w:color w:val="175A8A"/>
          </w:rPr>
          <w:t>ISTQB CTFL v4.0.1 · Confirmación, regresión y cobertura</w:t>
        </w:r>
      </w:hyperlink>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Evaluación de plantilla de pruebas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so.org/standard/79428.html" TargetMode="External"/><Relationship Id="rId11" Type="http://schemas.openxmlformats.org/officeDocument/2006/relationships/hyperlink" Target="https://www.iso.org/standard/79429.html" TargetMode="External"/><Relationship Id="rId12" Type="http://schemas.openxmlformats.org/officeDocument/2006/relationships/hyperlink" Target="https://www.iso.org/standard/79430.html" TargetMode="External"/><Relationship Id="rId13" Type="http://schemas.openxmlformats.org/officeDocument/2006/relationships/hyperlink" Target="https://standards.ieee.org/ieee/15026-3/10699/" TargetMode="External"/><Relationship Id="rId14" Type="http://schemas.openxmlformats.org/officeDocument/2006/relationships/hyperlink" Target="https://istqb.org/wp-content/uploads/2024/11/ISTQB_CTFL_Syllabus_v4.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 plantilla de pruebas frente a ISO 29119</dc:title>
  <dc:subject>Cobertura, brechas, correcciones y mejoras recomendadas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