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Data Retention Policy</w:t>
      </w:r>
    </w:p>
    <w:p>
      <w:r>
        <w:t>Customer personal identification data must be retained for at least 7 years pursuant to regulatory requirements.</w:t>
      </w:r>
    </w:p>
    <w:p>
      <w:r>
        <w:t>Financial transaction ledgers must be archived in immutable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