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26E63"/>
          <w:sz w:val="36"/>
        </w:rPr>
        <w:t>정책금융 재정의 사각지대 진단</w:t>
      </w:r>
    </w:p>
    <w:p>
      <w:pPr>
        <w:jc w:val="center"/>
      </w:pPr>
      <w:r>
        <w:rPr>
          <w:rFonts w:ascii="맑은 고딕" w:hAnsi="맑은 고딕" w:eastAsia="맑은 고딕"/>
          <w:b w:val="0"/>
          <w:sz w:val="22"/>
        </w:rPr>
        <w:t>양방향 수요 데이터를 활용한 재정 배분 효율화 분석</w:t>
      </w:r>
    </w:p>
    <w:p/>
    <w:tbl>
      <w:tblPr>
        <w:tblStyle w:val="LightList-Accent1"/>
        <w:tblW w:type="auto" w:w="0"/>
        <w:jc w:val="center"/>
        <w:tblLook w:firstColumn="1" w:firstRow="1" w:lastColumn="0" w:lastRow="0" w:noHBand="0" w:noVBand="1" w:val="04A0"/>
      </w:tblPr>
      <w:tblGrid>
        <w:gridCol w:w="4819"/>
        <w:gridCol w:w="4819"/>
      </w:tblGrid>
      <w:tr>
        <w:tc>
          <w:tcPr>
            <w:tcW w:type="dxa" w:w="1701"/>
          </w:tcPr>
          <w:p>
            <w:r/>
            <w:r>
              <w:rPr>
                <w:rFonts w:ascii="맑은 고딕" w:hAnsi="맑은 고딕" w:eastAsia="맑은 고딕"/>
                <w:b/>
                <w:sz w:val="19"/>
              </w:rPr>
              <w:t>항목</w:t>
            </w:r>
          </w:p>
        </w:tc>
        <w:tc>
          <w:tcPr>
            <w:tcW w:type="dxa" w:w="7937"/>
          </w:tcPr>
          <w:p>
            <w:r/>
            <w:r>
              <w:rPr>
                <w:rFonts w:ascii="맑은 고딕" w:hAnsi="맑은 고딕" w:eastAsia="맑은 고딕"/>
                <w:b/>
                <w:sz w:val="19"/>
              </w:rPr>
              <w:t>내용</w:t>
            </w:r>
          </w:p>
        </w:tc>
      </w:tr>
      <w:tr>
        <w:tc>
          <w:tcPr>
            <w:tcW w:type="dxa" w:w="1701"/>
          </w:tcPr>
          <w:p>
            <w:r/>
            <w:r>
              <w:rPr>
                <w:rFonts w:ascii="맑은 고딕" w:hAnsi="맑은 고딕" w:eastAsia="맑은 고딕"/>
                <w:b w:val="0"/>
                <w:sz w:val="19"/>
              </w:rPr>
              <w:t>공모전</w:t>
            </w:r>
          </w:p>
        </w:tc>
        <w:tc>
          <w:tcPr>
            <w:tcW w:type="dxa" w:w="7937"/>
          </w:tcPr>
          <w:p>
            <w:r/>
            <w:r>
              <w:rPr>
                <w:rFonts w:ascii="맑은 고딕" w:hAnsi="맑은 고딕" w:eastAsia="맑은 고딕"/>
                <w:b w:val="0"/>
                <w:sz w:val="19"/>
              </w:rPr>
              <w:t>[2026] 대학(원)생 재정데이터 분석 경진대회 (1차 분석계획서)</w:t>
            </w:r>
          </w:p>
        </w:tc>
      </w:tr>
      <w:tr>
        <w:tc>
          <w:tcPr>
            <w:tcW w:type="dxa" w:w="1701"/>
          </w:tcPr>
          <w:p>
            <w:r/>
            <w:r>
              <w:rPr>
                <w:rFonts w:ascii="맑은 고딕" w:hAnsi="맑은 고딕" w:eastAsia="맑은 고딕"/>
                <w:b w:val="0"/>
                <w:sz w:val="19"/>
              </w:rPr>
              <w:t>팀명</w:t>
            </w:r>
          </w:p>
        </w:tc>
        <w:tc>
          <w:tcPr>
            <w:tcW w:type="dxa" w:w="7937"/>
          </w:tcPr>
          <w:p>
            <w:r/>
            <w:r>
              <w:rPr>
                <w:rFonts w:ascii="맑은 고딕" w:hAnsi="맑은 고딕" w:eastAsia="맑은 고딕"/>
                <w:b w:val="0"/>
                <w:sz w:val="19"/>
              </w:rPr>
              <w:t>Voice2Policy</w:t>
            </w:r>
          </w:p>
        </w:tc>
      </w:tr>
      <w:tr>
        <w:tc>
          <w:tcPr>
            <w:tcW w:type="dxa" w:w="1701"/>
          </w:tcPr>
          <w:p>
            <w:r/>
            <w:r>
              <w:rPr>
                <w:rFonts w:ascii="맑은 고딕" w:hAnsi="맑은 고딕" w:eastAsia="맑은 고딕"/>
                <w:b w:val="0"/>
                <w:sz w:val="19"/>
              </w:rPr>
              <w:t>팀원</w:t>
            </w:r>
          </w:p>
        </w:tc>
        <w:tc>
          <w:tcPr>
            <w:tcW w:type="dxa" w:w="7937"/>
          </w:tcPr>
          <w:p>
            <w:r/>
            <w:r>
              <w:rPr>
                <w:rFonts w:ascii="맑은 고딕" w:hAnsi="맑은 고딕" w:eastAsia="맑은 고딕"/>
                <w:b w:val="0"/>
                <w:sz w:val="19"/>
              </w:rPr>
              <w:t>김현호(대표), 이호진, 신재원</w:t>
            </w:r>
          </w:p>
        </w:tc>
      </w:tr>
      <w:tr>
        <w:tc>
          <w:tcPr>
            <w:tcW w:type="dxa" w:w="1701"/>
          </w:tcPr>
          <w:p>
            <w:r/>
            <w:r>
              <w:rPr>
                <w:rFonts w:ascii="맑은 고딕" w:hAnsi="맑은 고딕" w:eastAsia="맑은 고딕"/>
                <w:b w:val="0"/>
                <w:sz w:val="19"/>
              </w:rPr>
              <w:t>분석 도구</w:t>
            </w:r>
          </w:p>
        </w:tc>
        <w:tc>
          <w:tcPr>
            <w:tcW w:type="dxa" w:w="7937"/>
          </w:tcPr>
          <w:p>
            <w:r/>
            <w:r>
              <w:rPr>
                <w:rFonts w:ascii="맑은 고딕" w:hAnsi="맑은 고딕" w:eastAsia="맑은 고딕"/>
                <w:b w:val="0"/>
                <w:sz w:val="19"/>
              </w:rPr>
              <w:t>포용이 — 본 팀이 직접 개발해 운용 중인 양방향 상담 프로토타입(웹/안드로이드)</w:t>
            </w:r>
          </w:p>
        </w:tc>
      </w:tr>
      <w:tr>
        <w:tc>
          <w:tcPr>
            <w:tcW w:type="dxa" w:w="1701"/>
          </w:tcPr>
          <w:p>
            <w:r/>
            <w:r>
              <w:rPr>
                <w:rFonts w:ascii="맑은 고딕" w:hAnsi="맑은 고딕" w:eastAsia="맑은 고딕"/>
                <w:b w:val="0"/>
                <w:sz w:val="19"/>
              </w:rPr>
              <w:t>제출 시기</w:t>
            </w:r>
          </w:p>
        </w:tc>
        <w:tc>
          <w:tcPr>
            <w:tcW w:type="dxa" w:w="7937"/>
          </w:tcPr>
          <w:p>
            <w:r/>
            <w:r>
              <w:rPr>
                <w:rFonts w:ascii="맑은 고딕" w:hAnsi="맑은 고딕" w:eastAsia="맑은 고딕"/>
                <w:b w:val="0"/>
                <w:sz w:val="19"/>
              </w:rPr>
              <w:t>2026년 6월 (1차 서류 접수기간 5.18~6.21 내)</w:t>
            </w:r>
          </w:p>
        </w:tc>
      </w:tr>
    </w:tbl>
    <w:p>
      <w:pPr>
        <w:spacing w:after="40"/>
      </w:pPr>
    </w:p>
    <w:p>
      <w:pPr>
        <w:spacing w:before="240" w:after="60"/>
      </w:pPr>
      <w:r>
        <w:rPr>
          <w:rFonts w:ascii="맑은 고딕" w:hAnsi="맑은 고딕" w:eastAsia="맑은 고딕"/>
          <w:b/>
          <w:color w:val="126E63"/>
          <w:sz w:val="26"/>
        </w:rPr>
        <w:t>1. 연구 배경과 문제의식</w:t>
      </w:r>
    </w:p>
    <w:p>
      <w:pPr>
        <w:spacing w:after="120" w:line="312" w:lineRule="auto"/>
        <w:ind w:firstLine="227"/>
      </w:pPr>
      <w:r>
        <w:rPr>
          <w:rFonts w:ascii="맑은 고딕" w:hAnsi="맑은 고딕" w:eastAsia="맑은 고딕"/>
          <w:b w:val="0"/>
          <w:sz w:val="21"/>
        </w:rPr>
        <w:t>정부는 해마다 미소금융, 햇살론, 청년 자산형성, 긴급복지 같은 서민·정책금융 사업에 수조 원의 재정과 기금을 넣는다. 그런데 이 돈이 잘 쓰였는지를 판단하는 잣대는 대부분 ‘예산을 얼마나 집행했는가’와 ‘몇 건을 지원했는가’에 머물러 있다. 우리는 여기서 한 가지 빈틈을 본다. 정작 도움이 필요했지만 제도까지 닿지 못한 사람들의 수요, 즉 미충족 수요는 어떤 회계장부에도 남지 않는다는 점이다.</w:t>
      </w:r>
    </w:p>
    <w:p>
      <w:pPr>
        <w:spacing w:after="120" w:line="312" w:lineRule="auto"/>
        <w:ind w:firstLine="227"/>
      </w:pPr>
      <w:r>
        <w:rPr>
          <w:rFonts w:ascii="맑은 고딕" w:hAnsi="맑은 고딕" w:eastAsia="맑은 고딕"/>
          <w:b w:val="0"/>
          <w:sz w:val="21"/>
        </w:rPr>
        <w:t>집행률이 100%라고 해서 재정이 꼭 필요한 곳으로 갔다고 말할 수는 없다. 필요한 사람에게 닿지 못한 채 다른 곳에서 소진되어도 장부상 집행률은 높게 찍히기 때문이다. 결국 ‘얼마나 썼나’만 보면 ‘필요한 곳에 닿았나’는 영영 보이지 않고, 사각지대는 데이터로 잡히지 않으니 재정을 다시 배분할 근거도 만들어지지 않는다. 우리 팀은 이 보이지 않는 수요를 측정 가능한 값으로 끌어내는 것이 이번 분석의 출발점이라고 보았다.</w:t>
      </w:r>
    </w:p>
    <w:p>
      <w:pPr>
        <w:spacing w:after="120" w:line="312" w:lineRule="auto"/>
        <w:ind w:firstLine="227"/>
      </w:pPr>
      <w:r>
        <w:rPr>
          <w:rFonts w:ascii="맑은 고딕" w:hAnsi="맑은 고딕" w:eastAsia="맑은 고딕"/>
          <w:b w:val="0"/>
          <w:sz w:val="21"/>
        </w:rPr>
        <w:t>이 지점에서 우리가 가진 자산이 의미를 가진다. 본 팀은 금융 소외계층과 정부를 잇는 양방향 상담 프로토타입 ‘포용이’를 직접 만들어 운용하고 있다(별첨 시연). 포용이는 사용자의 상황을 상담하면서 상황 유형, 긴급도, 거주 시·도, 소득 계층, 요청 금액, 그리고 적합한 제도를 찾았는지 여부를 개인을 식별하지 않는 익명 신호로 남긴다. 다시 말해, 종래 재정데이터에는 존재하지 않던 미충족 수요라는 변수를 관측할 수 있게 해 준다. 본 연구는 이 신규 관측치를 공개 재정·통계 데이터와 맞물려 정책금융의 사각지대를 처음으로 수치 지표로 만드는 것을 목표로 한다.</w:t>
      </w:r>
    </w:p>
    <w:p>
      <w:pPr>
        <w:spacing w:before="240" w:after="60"/>
      </w:pPr>
      <w:r>
        <w:rPr>
          <w:rFonts w:ascii="맑은 고딕" w:hAnsi="맑은 고딕" w:eastAsia="맑은 고딕"/>
          <w:b/>
          <w:color w:val="126E63"/>
          <w:sz w:val="26"/>
        </w:rPr>
        <w:t>2. 연구 질문과 가설</w:t>
      </w:r>
    </w:p>
    <w:p>
      <w:pPr>
        <w:spacing w:after="120" w:line="312" w:lineRule="auto"/>
        <w:ind w:firstLine="227"/>
      </w:pPr>
      <w:r>
        <w:rPr>
          <w:rFonts w:ascii="맑은 고딕" w:hAnsi="맑은 고딕" w:eastAsia="맑은 고딕"/>
          <w:b w:val="0"/>
          <w:sz w:val="21"/>
        </w:rPr>
        <w:t>우리는 진단에서 처방까지 한 흐름으로 이어지도록 질문을 세 단계로 잡았다. 먼저 재정이 어디에 얼마나 공급되는지 지도를 그리고(공급), 그 위에 추정한 수요를 겹쳐 어디가 비어 있는지 본 다음(괴리), 같은 예산 안에서 그 빈 곳을 메우면 무엇이 얼마나 나아지는지(처방)를 따진다.</w:t>
      </w:r>
    </w:p>
    <w:p>
      <w:pPr>
        <w:spacing w:after="60" w:line="300" w:lineRule="auto"/>
        <w:ind w:left="283"/>
      </w:pPr>
      <w:r>
        <w:rPr>
          <w:rFonts w:ascii="맑은 고딕" w:hAnsi="맑은 고딕" w:eastAsia="맑은 고딕"/>
          <w:b w:val="0"/>
          <w:sz w:val="21"/>
        </w:rPr>
        <w:t>· RQ1. 정책금융 재정의 공급(예산현액·집행액·지원실적)은 지역과 계층, 상황별로 어떻게 분포하는가?</w:t>
      </w:r>
    </w:p>
    <w:p>
      <w:pPr>
        <w:spacing w:after="60" w:line="300" w:lineRule="auto"/>
        <w:ind w:left="283"/>
      </w:pPr>
      <w:r>
        <w:rPr>
          <w:rFonts w:ascii="맑은 고딕" w:hAnsi="맑은 고딕" w:eastAsia="맑은 고딕"/>
          <w:b w:val="0"/>
          <w:sz w:val="21"/>
        </w:rPr>
        <w:t>· RQ2. 추정한 미충족 수요와 실제 재정 공급 사이의 괴리(사각지대)는 어디서, 얼마나 크게 나타나는가?</w:t>
      </w:r>
    </w:p>
    <w:p>
      <w:pPr>
        <w:spacing w:after="60" w:line="300" w:lineRule="auto"/>
        <w:ind w:left="283"/>
      </w:pPr>
      <w:r>
        <w:rPr>
          <w:rFonts w:ascii="맑은 고딕" w:hAnsi="맑은 고딕" w:eastAsia="맑은 고딕"/>
          <w:b w:val="0"/>
          <w:sz w:val="21"/>
        </w:rPr>
        <w:t>· RQ3. 사각지대가 큰 곳으로 동일 예산을 다시 배분하면 미충족 수요는 얼마나 줄어드는가?</w:t>
      </w:r>
    </w:p>
    <w:p>
      <w:pPr>
        <w:spacing w:after="120" w:line="312" w:lineRule="auto"/>
        <w:ind w:firstLine="227"/>
      </w:pPr>
      <w:r>
        <w:rPr>
          <w:rFonts w:ascii="맑은 고딕" w:hAnsi="맑은 고딕" w:eastAsia="맑은 고딕"/>
          <w:b w:val="0"/>
          <w:sz w:val="21"/>
        </w:rPr>
        <w:t>가설은 두 가지다. 첫째, 지방·고령·저소득 구간일수록 집행률 자체는 평균과 비슷해도 사각지대 지표는 뚜렷하게 높을 것이다. 공급과 수요가 어긋나 있기 때문이다. 둘째, 사각지대가 큰 구간으로 예산을 옮기면 전체 미충족 수요는 통계적으로 의미 있게 줄되, 그 개선폭은 갈수록 작아질 것이다(한계효과 체감). 이 두 가설이 맞는지를 데이터로 검증하는 것이 본 분석의 핵심이다.</w:t>
      </w:r>
    </w:p>
    <w:p>
      <w:pPr>
        <w:spacing w:before="240" w:after="60"/>
      </w:pPr>
      <w:r>
        <w:rPr>
          <w:rFonts w:ascii="맑은 고딕" w:hAnsi="맑은 고딕" w:eastAsia="맑은 고딕"/>
          <w:b/>
          <w:color w:val="126E63"/>
          <w:sz w:val="26"/>
        </w:rPr>
        <w:t>3. 사용 데이터</w:t>
      </w:r>
    </w:p>
    <w:p>
      <w:pPr>
        <w:spacing w:after="120" w:line="312" w:lineRule="auto"/>
        <w:ind w:firstLine="227"/>
      </w:pPr>
      <w:r>
        <w:rPr>
          <w:rFonts w:ascii="맑은 고딕" w:hAnsi="맑은 고딕" w:eastAsia="맑은 고딕"/>
          <w:b w:val="0"/>
          <w:sz w:val="21"/>
        </w:rPr>
        <w:t>분석은 ‘공개 재정데이터’를 중심에 두고, 수요 추정을 위한 통계와 우리가 직접 모으는 관측 신호를 보조로 결합한다. 핵심 데이터와 그 역할은 다음과 같다.</w:t>
      </w:r>
    </w:p>
    <w:tbl>
      <w:tblPr>
        <w:tblStyle w:val="LightList-Accent1"/>
        <w:tblW w:type="auto" w:w="0"/>
        <w:jc w:val="center"/>
        <w:tblLook w:firstColumn="1" w:firstRow="1" w:lastColumn="0" w:lastRow="0" w:noHBand="0" w:noVBand="1" w:val="04A0"/>
      </w:tblPr>
      <w:tblGrid>
        <w:gridCol w:w="3213"/>
        <w:gridCol w:w="3213"/>
        <w:gridCol w:w="3213"/>
      </w:tblGrid>
      <w:tr>
        <w:tc>
          <w:tcPr>
            <w:tcW w:type="dxa" w:w="4535"/>
          </w:tcPr>
          <w:p>
            <w:r/>
            <w:r>
              <w:rPr>
                <w:rFonts w:ascii="맑은 고딕" w:hAnsi="맑은 고딕" w:eastAsia="맑은 고딕"/>
                <w:b/>
                <w:sz w:val="19"/>
              </w:rPr>
              <w:t>데이터 (출처)</w:t>
            </w:r>
          </w:p>
        </w:tc>
        <w:tc>
          <w:tcPr>
            <w:tcW w:type="dxa" w:w="3685"/>
          </w:tcPr>
          <w:p>
            <w:r/>
            <w:r>
              <w:rPr>
                <w:rFonts w:ascii="맑은 고딕" w:hAnsi="맑은 고딕" w:eastAsia="맑은 고딕"/>
                <w:b/>
                <w:sz w:val="19"/>
              </w:rPr>
              <w:t>분석에서의 역할</w:t>
            </w:r>
          </w:p>
        </w:tc>
        <w:tc>
          <w:tcPr>
            <w:tcW w:type="dxa" w:w="1417"/>
          </w:tcPr>
          <w:p>
            <w:r/>
            <w:r>
              <w:rPr>
                <w:rFonts w:ascii="맑은 고딕" w:hAnsi="맑은 고딕" w:eastAsia="맑은 고딕"/>
                <w:b/>
                <w:sz w:val="19"/>
              </w:rPr>
              <w:t>확보</w:t>
            </w:r>
          </w:p>
        </w:tc>
      </w:tr>
      <w:tr>
        <w:tc>
          <w:tcPr>
            <w:tcW w:type="dxa" w:w="4535"/>
          </w:tcPr>
          <w:p>
            <w:r/>
            <w:r>
              <w:rPr>
                <w:rFonts w:ascii="맑은 고딕" w:hAnsi="맑은 고딕" w:eastAsia="맑은 고딕"/>
                <w:b w:val="0"/>
                <w:sz w:val="19"/>
              </w:rPr>
              <w:t>열린재정 정책금융·복지사업 예산현액/집행액, 기금운용계획·결산</w:t>
            </w:r>
          </w:p>
        </w:tc>
        <w:tc>
          <w:tcPr>
            <w:tcW w:type="dxa" w:w="3685"/>
          </w:tcPr>
          <w:p>
            <w:r/>
            <w:r>
              <w:rPr>
                <w:rFonts w:ascii="맑은 고딕" w:hAnsi="맑은 고딕" w:eastAsia="맑은 고딕"/>
                <w:b w:val="0"/>
                <w:sz w:val="19"/>
              </w:rPr>
              <w:t>RQ1 재정 공급 지도의 기본 축</w:t>
            </w:r>
          </w:p>
        </w:tc>
        <w:tc>
          <w:tcPr>
            <w:tcW w:type="dxa" w:w="1417"/>
          </w:tcPr>
          <w:p>
            <w:r/>
            <w:r>
              <w:rPr>
                <w:rFonts w:ascii="맑은 고딕" w:hAnsi="맑은 고딕" w:eastAsia="맑은 고딕"/>
                <w:b w:val="0"/>
                <w:sz w:val="19"/>
              </w:rPr>
              <w:t>공개</w:t>
            </w:r>
          </w:p>
        </w:tc>
      </w:tr>
      <w:tr>
        <w:tc>
          <w:tcPr>
            <w:tcW w:type="dxa" w:w="4535"/>
          </w:tcPr>
          <w:p>
            <w:r/>
            <w:r>
              <w:rPr>
                <w:rFonts w:ascii="맑은 고딕" w:hAnsi="맑은 고딕" w:eastAsia="맑은 고딕"/>
                <w:b w:val="0"/>
                <w:sz w:val="19"/>
              </w:rPr>
              <w:t>서민금융진흥원 지원실적 · KOSIS 서민금융 통계(상품·지역·연도)</w:t>
            </w:r>
          </w:p>
        </w:tc>
        <w:tc>
          <w:tcPr>
            <w:tcW w:type="dxa" w:w="3685"/>
          </w:tcPr>
          <w:p>
            <w:r/>
            <w:r>
              <w:rPr>
                <w:rFonts w:ascii="맑은 고딕" w:hAnsi="맑은 고딕" w:eastAsia="맑은 고딕"/>
                <w:b w:val="0"/>
                <w:sz w:val="19"/>
              </w:rPr>
              <w:t>상품·지역별 공급량 정합</w:t>
            </w:r>
          </w:p>
        </w:tc>
        <w:tc>
          <w:tcPr>
            <w:tcW w:type="dxa" w:w="1417"/>
          </w:tcPr>
          <w:p>
            <w:r/>
            <w:r>
              <w:rPr>
                <w:rFonts w:ascii="맑은 고딕" w:hAnsi="맑은 고딕" w:eastAsia="맑은 고딕"/>
                <w:b w:val="0"/>
                <w:sz w:val="19"/>
              </w:rPr>
              <w:t>공개</w:t>
            </w:r>
          </w:p>
        </w:tc>
      </w:tr>
      <w:tr>
        <w:tc>
          <w:tcPr>
            <w:tcW w:type="dxa" w:w="4535"/>
          </w:tcPr>
          <w:p>
            <w:r/>
            <w:r>
              <w:rPr>
                <w:rFonts w:ascii="맑은 고딕" w:hAnsi="맑은 고딕" w:eastAsia="맑은 고딕"/>
                <w:b w:val="0"/>
                <w:sz w:val="19"/>
              </w:rPr>
              <w:t>통계청 가계금융복지조사, KOSIS 시도별 수급자·인구·고령 통계</w:t>
            </w:r>
          </w:p>
        </w:tc>
        <w:tc>
          <w:tcPr>
            <w:tcW w:type="dxa" w:w="3685"/>
          </w:tcPr>
          <w:p>
            <w:r/>
            <w:r>
              <w:rPr>
                <w:rFonts w:ascii="맑은 고딕" w:hAnsi="맑은 고딕" w:eastAsia="맑은 고딕"/>
                <w:b w:val="0"/>
                <w:sz w:val="19"/>
              </w:rPr>
              <w:t>지역·계층별 잠재 수요 규모 추정</w:t>
            </w:r>
          </w:p>
        </w:tc>
        <w:tc>
          <w:tcPr>
            <w:tcW w:type="dxa" w:w="1417"/>
          </w:tcPr>
          <w:p>
            <w:r/>
            <w:r>
              <w:rPr>
                <w:rFonts w:ascii="맑은 고딕" w:hAnsi="맑은 고딕" w:eastAsia="맑은 고딕"/>
                <w:b w:val="0"/>
                <w:sz w:val="19"/>
              </w:rPr>
              <w:t>공개</w:t>
            </w:r>
          </w:p>
        </w:tc>
      </w:tr>
      <w:tr>
        <w:tc>
          <w:tcPr>
            <w:tcW w:type="dxa" w:w="4535"/>
          </w:tcPr>
          <w:p>
            <w:r/>
            <w:r>
              <w:rPr>
                <w:rFonts w:ascii="맑은 고딕" w:hAnsi="맑은 고딕" w:eastAsia="맑은 고딕"/>
                <w:b w:val="0"/>
                <w:sz w:val="19"/>
              </w:rPr>
              <w:t>한국은행·금융감독원 전국민 금융이해력조사 등</w:t>
            </w:r>
          </w:p>
        </w:tc>
        <w:tc>
          <w:tcPr>
            <w:tcW w:type="dxa" w:w="3685"/>
          </w:tcPr>
          <w:p>
            <w:r/>
            <w:r>
              <w:rPr>
                <w:rFonts w:ascii="맑은 고딕" w:hAnsi="맑은 고딕" w:eastAsia="맑은 고딕"/>
                <w:b w:val="0"/>
                <w:sz w:val="19"/>
              </w:rPr>
              <w:t>접근장벽·취약도 보정</w:t>
            </w:r>
          </w:p>
        </w:tc>
        <w:tc>
          <w:tcPr>
            <w:tcW w:type="dxa" w:w="1417"/>
          </w:tcPr>
          <w:p>
            <w:r/>
            <w:r>
              <w:rPr>
                <w:rFonts w:ascii="맑은 고딕" w:hAnsi="맑은 고딕" w:eastAsia="맑은 고딕"/>
                <w:b w:val="0"/>
                <w:sz w:val="19"/>
              </w:rPr>
              <w:t>공개</w:t>
            </w:r>
          </w:p>
        </w:tc>
      </w:tr>
      <w:tr>
        <w:tc>
          <w:tcPr>
            <w:tcW w:type="dxa" w:w="4535"/>
          </w:tcPr>
          <w:p>
            <w:r/>
            <w:r>
              <w:rPr>
                <w:rFonts w:ascii="맑은 고딕" w:hAnsi="맑은 고딕" w:eastAsia="맑은 고딕"/>
                <w:b w:val="0"/>
                <w:sz w:val="19"/>
              </w:rPr>
              <w:t>펀드투자자조사 5개년(2020~2024, 팀 보유)</w:t>
            </w:r>
          </w:p>
        </w:tc>
        <w:tc>
          <w:tcPr>
            <w:tcW w:type="dxa" w:w="3685"/>
          </w:tcPr>
          <w:p>
            <w:r/>
            <w:r>
              <w:rPr>
                <w:rFonts w:ascii="맑은 고딕" w:hAnsi="맑은 고딕" w:eastAsia="맑은 고딕"/>
                <w:b w:val="0"/>
                <w:sz w:val="19"/>
              </w:rPr>
              <w:t>잠재 취약군 분포 베이스라인</w:t>
            </w:r>
          </w:p>
        </w:tc>
        <w:tc>
          <w:tcPr>
            <w:tcW w:type="dxa" w:w="1417"/>
          </w:tcPr>
          <w:p>
            <w:r/>
            <w:r>
              <w:rPr>
                <w:rFonts w:ascii="맑은 고딕" w:hAnsi="맑은 고딕" w:eastAsia="맑은 고딕"/>
                <w:b w:val="0"/>
                <w:sz w:val="19"/>
              </w:rPr>
              <w:t>보유</w:t>
            </w:r>
          </w:p>
        </w:tc>
      </w:tr>
      <w:tr>
        <w:tc>
          <w:tcPr>
            <w:tcW w:type="dxa" w:w="4535"/>
          </w:tcPr>
          <w:p>
            <w:r/>
            <w:r>
              <w:rPr>
                <w:rFonts w:ascii="맑은 고딕" w:hAnsi="맑은 고딕" w:eastAsia="맑은 고딕"/>
                <w:b w:val="0"/>
                <w:sz w:val="19"/>
              </w:rPr>
              <w:t>포용이 익명 수요신호(상황·긴급도·시도·계층·매칭여부)</w:t>
            </w:r>
          </w:p>
        </w:tc>
        <w:tc>
          <w:tcPr>
            <w:tcW w:type="dxa" w:w="3685"/>
          </w:tcPr>
          <w:p>
            <w:r/>
            <w:r>
              <w:rPr>
                <w:rFonts w:ascii="맑은 고딕" w:hAnsi="맑은 고딕" w:eastAsia="맑은 고딕"/>
                <w:b w:val="0"/>
                <w:sz w:val="19"/>
              </w:rPr>
              <w:t>미충족 수요의 직접 관측치</w:t>
            </w:r>
          </w:p>
        </w:tc>
        <w:tc>
          <w:tcPr>
            <w:tcW w:type="dxa" w:w="1417"/>
          </w:tcPr>
          <w:p>
            <w:r/>
            <w:r>
              <w:rPr>
                <w:rFonts w:ascii="맑은 고딕" w:hAnsi="맑은 고딕" w:eastAsia="맑은 고딕"/>
                <w:b w:val="0"/>
                <w:sz w:val="19"/>
              </w:rPr>
              <w:t>자체 수집</w:t>
            </w:r>
          </w:p>
        </w:tc>
      </w:tr>
    </w:tbl>
    <w:p>
      <w:pPr>
        <w:spacing w:after="40"/>
      </w:pPr>
    </w:p>
    <w:p>
      <w:pPr>
        <w:spacing w:after="120" w:line="312" w:lineRule="auto"/>
        <w:ind w:firstLine="227"/>
      </w:pPr>
      <w:r>
        <w:rPr>
          <w:rFonts w:ascii="맑은 고딕" w:hAnsi="맑은 고딕" w:eastAsia="맑은 고딕"/>
          <w:b w:val="0"/>
          <w:sz w:val="21"/>
        </w:rPr>
        <w:t>데이터를 솔직하게 다루는 것이 결과의 신뢰를 좌우한다고 본다. 펀드투자자조사는 애초에 펀드를 굴릴 여력이 있는 층을 표본으로 하므로 소외계층을 직접 대표하지 못한다. 그래서 우리는 펀드 미경험·자금부족 응답을 묶은 ‘프록시(잠재 취약군)’로만, 그것도 한계를 명시해서 쓴다. 포용이 신호 역시 초기 이용자에 치우친 자기선택 편향이 있으므로, 가계금융복지조사 모집단에 맞춰 사후층화로 가중하고 소표본 구간은 베이지안 축소추정으로 안정화한다. 개인을 식별하는 정보는 모으지 않으며 집계는 시·도 단위까지, 표본이 5명 미만인 칸은 가린다.</w:t>
      </w:r>
    </w:p>
    <w:p>
      <w:pPr>
        <w:spacing w:before="240" w:after="60"/>
      </w:pPr>
      <w:r>
        <w:rPr>
          <w:rFonts w:ascii="맑은 고딕" w:hAnsi="맑은 고딕" w:eastAsia="맑은 고딕"/>
          <w:b/>
          <w:color w:val="126E63"/>
          <w:sz w:val="26"/>
        </w:rPr>
        <w:t>4. 분석 방법</w:t>
      </w:r>
    </w:p>
    <w:p>
      <w:pPr>
        <w:spacing w:after="120" w:line="312" w:lineRule="auto"/>
        <w:ind w:firstLine="227"/>
      </w:pPr>
      <w:r>
        <w:rPr>
          <w:rFonts w:ascii="맑은 고딕" w:hAnsi="맑은 고딕" w:eastAsia="맑은 고딕"/>
          <w:b w:val="0"/>
          <w:sz w:val="21"/>
        </w:rPr>
        <w:t>전체 과정은 공급 정리 → 수요 추정 → 사각지대 측정 → 원인 분석 → 재배분 시뮬레이션의 순서로 진행한다. 각 단계가 다음 단계의 입력이 되도록 설계했다.</w:t>
      </w:r>
    </w:p>
    <w:p>
      <w:pPr>
        <w:spacing w:after="120" w:line="312" w:lineRule="auto"/>
        <w:ind w:firstLine="227"/>
      </w:pPr>
      <w:r>
        <w:rPr>
          <w:rFonts w:ascii="맑은 고딕" w:hAnsi="맑은 고딕" w:eastAsia="맑은 고딕"/>
          <w:b w:val="0"/>
          <w:sz w:val="21"/>
        </w:rPr>
        <w:t>먼저 흩어져 있는 사업코드·기관·상품을 공통 분류로 맞추고, 예산현액과 집행액, 지원건수를 연도×시도×상품군 패널로 표준화한다. 1인당 또는 수급자 1인당 공급액 같은 재정 강도 지표도 이때 만든다. 다음으로 가계금융복지조사와 수급자 통계로 구간별 잠재 대상 규모를 추정하고, 펀드조사 프록시 분포로 취약 가중치를, 포용이 신호로 상황 구성을 보정해 수요 쪽을 채운다.</w:t>
      </w:r>
    </w:p>
    <w:p>
      <w:pPr>
        <w:spacing w:after="120" w:line="312" w:lineRule="auto"/>
        <w:ind w:firstLine="227"/>
      </w:pPr>
      <w:r>
        <w:rPr>
          <w:rFonts w:ascii="맑은 고딕" w:hAnsi="맑은 고딕" w:eastAsia="맑은 고딕"/>
          <w:b w:val="0"/>
          <w:sz w:val="21"/>
        </w:rPr>
        <w:t>그 위에서 사각지대 지수(가칭 CGI)를 만든다. 어렵게 갈 것 없이, 한 구간의 ‘수요 대비 미충족 정도’와 ‘앱에서의 미매칭 비율’이 높을수록, 그리고 ‘1인당 재정 공급’이 낮을수록 지수가 커지도록 표준화해 합산한다. 가중치는 임의로 정하지 않고 민감도 분석과 검토를 거쳐 조정한다. 이렇게 만든 지수를 연도×시도×상황 패널로 펼치면, 집행률만 봐서는 안 보이던 빈틈이 드러난다.</w:t>
      </w:r>
    </w:p>
    <w:p>
      <w:pPr>
        <w:spacing w:after="120" w:line="312" w:lineRule="auto"/>
        <w:ind w:firstLine="227"/>
      </w:pPr>
      <w:r>
        <w:rPr>
          <w:rFonts w:ascii="맑은 고딕" w:hAnsi="맑은 고딕" w:eastAsia="맑은 고딕"/>
          <w:b w:val="0"/>
          <w:sz w:val="21"/>
        </w:rPr>
        <w:t>원인은 패널 고정효과 회귀와 이원분산분석으로 지역·계층·상황·연도 효과를 분해해 살핀다. 사각지대가 특정 지역에 뭉쳐 나타나는지는 공간 자기상관(Moran’s I)으로 확인한다. 특히 같은 구간에서 집행률과 CGI를 나란히 놓아 ‘집행률은 멀쩡한데 사각지대는 큰’ 사례를 실제로 보여줄 계획이다.</w:t>
      </w:r>
    </w:p>
    <w:p>
      <w:pPr>
        <w:spacing w:after="120" w:line="312" w:lineRule="auto"/>
        <w:ind w:firstLine="227"/>
      </w:pPr>
      <w:r>
        <w:rPr>
          <w:rFonts w:ascii="맑은 고딕" w:hAnsi="맑은 고딕" w:eastAsia="맑은 고딕"/>
          <w:b w:val="0"/>
          <w:sz w:val="21"/>
        </w:rPr>
        <w:t>마지막으로, 총예산을 그대로 둔 채 사각지대가 큰 구간으로 재정을 옮기는 재배분을 시뮬레이션한다. ‘전체 미충족 수요 최소화’를 목적으로 한 선형계획에 한계효과 체감을 반영하고, 현행 배분과 비교해 미충족 수요가 얼마나 줄고 지역 형평이 얼마나 나아지는지를 반사실로 제시한다. 분석 전반에서 인과를 단정하기보다 ‘어디를 먼저 봐야 하는가’라는 우선순위 제시로 해석을 절제할 것이다.</w:t>
      </w:r>
    </w:p>
    <w:p>
      <w:pPr>
        <w:spacing w:before="240" w:after="60"/>
      </w:pPr>
      <w:r>
        <w:rPr>
          <w:rFonts w:ascii="맑은 고딕" w:hAnsi="맑은 고딕" w:eastAsia="맑은 고딕"/>
          <w:b/>
          <w:color w:val="126E63"/>
          <w:sz w:val="26"/>
        </w:rPr>
        <w:t>5. 기대 결과와 정책적 함의</w:t>
      </w:r>
    </w:p>
    <w:p>
      <w:pPr>
        <w:spacing w:after="120" w:line="312" w:lineRule="auto"/>
        <w:ind w:firstLine="227"/>
      </w:pPr>
      <w:r>
        <w:rPr>
          <w:rFonts w:ascii="맑은 고딕" w:hAnsi="맑은 고딕" w:eastAsia="맑은 고딕"/>
          <w:b w:val="0"/>
          <w:sz w:val="21"/>
        </w:rPr>
        <w:t>결과물로는 지역×상황 사각지대 지수와 이를 한눈에 보는 진단 화면, 근거 수치가 붙은 ‘재정 우선 개입 후보’ 지역·상품 목록, 그리고 재배분 시나리오별 개선 추정표를 낼 계획이다. 포용이의 익명 신호로 이 지표를 거의 실시간으로 갱신할 수 있다는 점도 함께 보인다.</w:t>
      </w:r>
    </w:p>
    <w:p>
      <w:pPr>
        <w:spacing w:after="120" w:line="312" w:lineRule="auto"/>
        <w:ind w:firstLine="227"/>
      </w:pPr>
      <w:r>
        <w:rPr>
          <w:rFonts w:ascii="맑은 고딕" w:hAnsi="맑은 고딕" w:eastAsia="맑은 고딕"/>
          <w:b w:val="0"/>
          <w:sz w:val="21"/>
        </w:rPr>
        <w:t>정책적으로 하고 싶은 이야기는 분명하다. ‘얼마나 썼는가’를 넘어 ‘필요한 곳에 닿았는가’를 재정 성과의 지표로 함께 보자는 것이다. 그래야 한정된 재정의 배분 효율과 지역 형평을 같이 끌어올릴 수 있고, 그것이 이번 대회가 묻는 ‘재정데이터로 무엇을 바꿀 수 있는가’에 대한 우리의 답이다.</w:t>
      </w:r>
    </w:p>
    <w:p>
      <w:pPr>
        <w:spacing w:before="240" w:after="60"/>
      </w:pPr>
      <w:r>
        <w:rPr>
          <w:rFonts w:ascii="맑은 고딕" w:hAnsi="맑은 고딕" w:eastAsia="맑은 고딕"/>
          <w:b/>
          <w:color w:val="126E63"/>
          <w:sz w:val="26"/>
        </w:rPr>
        <w:t>6. 추진 일정</w:t>
      </w:r>
    </w:p>
    <w:tbl>
      <w:tblPr>
        <w:tblStyle w:val="LightList-Accent1"/>
        <w:tblW w:type="auto" w:w="0"/>
        <w:jc w:val="center"/>
        <w:tblLook w:firstColumn="1" w:firstRow="1" w:lastColumn="0" w:lastRow="0" w:noHBand="0" w:noVBand="1" w:val="04A0"/>
      </w:tblPr>
      <w:tblGrid>
        <w:gridCol w:w="3213"/>
        <w:gridCol w:w="3213"/>
        <w:gridCol w:w="3213"/>
      </w:tblGrid>
      <w:tr>
        <w:tc>
          <w:tcPr>
            <w:tcW w:type="dxa" w:w="1247"/>
          </w:tcPr>
          <w:p>
            <w:r/>
            <w:r>
              <w:rPr>
                <w:rFonts w:ascii="맑은 고딕" w:hAnsi="맑은 고딕" w:eastAsia="맑은 고딕"/>
                <w:b/>
                <w:sz w:val="19"/>
              </w:rPr>
              <w:t>구간</w:t>
            </w:r>
          </w:p>
        </w:tc>
        <w:tc>
          <w:tcPr>
            <w:tcW w:type="dxa" w:w="1701"/>
          </w:tcPr>
          <w:p>
            <w:r/>
            <w:r>
              <w:rPr>
                <w:rFonts w:ascii="맑은 고딕" w:hAnsi="맑은 고딕" w:eastAsia="맑은 고딕"/>
                <w:b/>
                <w:sz w:val="19"/>
              </w:rPr>
              <w:t>시기</w:t>
            </w:r>
          </w:p>
        </w:tc>
        <w:tc>
          <w:tcPr>
            <w:tcW w:type="dxa" w:w="6690"/>
          </w:tcPr>
          <w:p>
            <w:r/>
            <w:r>
              <w:rPr>
                <w:rFonts w:ascii="맑은 고딕" w:hAnsi="맑은 고딕" w:eastAsia="맑은 고딕"/>
                <w:b/>
                <w:sz w:val="19"/>
              </w:rPr>
              <w:t>내용</w:t>
            </w:r>
          </w:p>
        </w:tc>
      </w:tr>
      <w:tr>
        <w:tc>
          <w:tcPr>
            <w:tcW w:type="dxa" w:w="1247"/>
          </w:tcPr>
          <w:p>
            <w:r/>
            <w:r>
              <w:rPr>
                <w:rFonts w:ascii="맑은 고딕" w:hAnsi="맑은 고딕" w:eastAsia="맑은 고딕"/>
                <w:b w:val="0"/>
                <w:sz w:val="19"/>
              </w:rPr>
              <w:t>1차</w:t>
            </w:r>
          </w:p>
        </w:tc>
        <w:tc>
          <w:tcPr>
            <w:tcW w:type="dxa" w:w="1701"/>
          </w:tcPr>
          <w:p>
            <w:r/>
            <w:r>
              <w:rPr>
                <w:rFonts w:ascii="맑은 고딕" w:hAnsi="맑은 고딕" w:eastAsia="맑은 고딕"/>
                <w:b w:val="0"/>
                <w:sz w:val="19"/>
              </w:rPr>
              <w:t>~6/21</w:t>
            </w:r>
          </w:p>
        </w:tc>
        <w:tc>
          <w:tcPr>
            <w:tcW w:type="dxa" w:w="6690"/>
          </w:tcPr>
          <w:p>
            <w:r/>
            <w:r>
              <w:rPr>
                <w:rFonts w:ascii="맑은 고딕" w:hAnsi="맑은 고딕" w:eastAsia="맑은 고딕"/>
                <w:b w:val="0"/>
                <w:sz w:val="19"/>
              </w:rPr>
              <w:t>분석계획서·참가신청서 제출</w:t>
            </w:r>
          </w:p>
        </w:tc>
      </w:tr>
      <w:tr>
        <w:tc>
          <w:tcPr>
            <w:tcW w:type="dxa" w:w="1247"/>
          </w:tcPr>
          <w:p>
            <w:r/>
            <w:r>
              <w:rPr>
                <w:rFonts w:ascii="맑은 고딕" w:hAnsi="맑은 고딕" w:eastAsia="맑은 고딕"/>
                <w:b w:val="0"/>
                <w:sz w:val="19"/>
              </w:rPr>
              <w:t>본선 착수</w:t>
            </w:r>
          </w:p>
        </w:tc>
        <w:tc>
          <w:tcPr>
            <w:tcW w:type="dxa" w:w="1701"/>
          </w:tcPr>
          <w:p>
            <w:r/>
            <w:r>
              <w:rPr>
                <w:rFonts w:ascii="맑은 고딕" w:hAnsi="맑은 고딕" w:eastAsia="맑은 고딕"/>
                <w:b w:val="0"/>
                <w:sz w:val="19"/>
              </w:rPr>
              <w:t>7/6~7/7</w:t>
            </w:r>
          </w:p>
        </w:tc>
        <w:tc>
          <w:tcPr>
            <w:tcW w:type="dxa" w:w="6690"/>
          </w:tcPr>
          <w:p>
            <w:r/>
            <w:r>
              <w:rPr>
                <w:rFonts w:ascii="맑은 고딕" w:hAnsi="맑은 고딕" w:eastAsia="맑은 고딕"/>
                <w:b w:val="0"/>
                <w:sz w:val="19"/>
              </w:rPr>
              <w:t>Kick-off·집합교육(태안, 전원 참석)</w:t>
            </w:r>
          </w:p>
        </w:tc>
      </w:tr>
      <w:tr>
        <w:tc>
          <w:tcPr>
            <w:tcW w:type="dxa" w:w="1247"/>
          </w:tcPr>
          <w:p>
            <w:r/>
            <w:r>
              <w:rPr>
                <w:rFonts w:ascii="맑은 고딕" w:hAnsi="맑은 고딕" w:eastAsia="맑은 고딕"/>
                <w:b w:val="0"/>
                <w:sz w:val="19"/>
              </w:rPr>
              <w:t>1주차</w:t>
            </w:r>
          </w:p>
        </w:tc>
        <w:tc>
          <w:tcPr>
            <w:tcW w:type="dxa" w:w="1701"/>
          </w:tcPr>
          <w:p>
            <w:r/>
            <w:r>
              <w:rPr>
                <w:rFonts w:ascii="맑은 고딕" w:hAnsi="맑은 고딕" w:eastAsia="맑은 고딕"/>
                <w:b w:val="0"/>
                <w:sz w:val="19"/>
              </w:rPr>
              <w:t>본선+1주</w:t>
            </w:r>
          </w:p>
        </w:tc>
        <w:tc>
          <w:tcPr>
            <w:tcW w:type="dxa" w:w="6690"/>
          </w:tcPr>
          <w:p>
            <w:r/>
            <w:r>
              <w:rPr>
                <w:rFonts w:ascii="맑은 고딕" w:hAnsi="맑은 고딕" w:eastAsia="맑은 고딕"/>
                <w:b w:val="0"/>
                <w:sz w:val="19"/>
              </w:rPr>
              <w:t>재정 공급 표준화, 잠재 수요 추정</w:t>
            </w:r>
          </w:p>
        </w:tc>
      </w:tr>
      <w:tr>
        <w:tc>
          <w:tcPr>
            <w:tcW w:type="dxa" w:w="1247"/>
          </w:tcPr>
          <w:p>
            <w:r/>
            <w:r>
              <w:rPr>
                <w:rFonts w:ascii="맑은 고딕" w:hAnsi="맑은 고딕" w:eastAsia="맑은 고딕"/>
                <w:b w:val="0"/>
                <w:sz w:val="19"/>
              </w:rPr>
              <w:t>2주차</w:t>
            </w:r>
          </w:p>
        </w:tc>
        <w:tc>
          <w:tcPr>
            <w:tcW w:type="dxa" w:w="1701"/>
          </w:tcPr>
          <w:p>
            <w:r/>
            <w:r>
              <w:rPr>
                <w:rFonts w:ascii="맑은 고딕" w:hAnsi="맑은 고딕" w:eastAsia="맑은 고딕"/>
                <w:b w:val="0"/>
                <w:sz w:val="19"/>
              </w:rPr>
              <w:t>본선+2주</w:t>
            </w:r>
          </w:p>
        </w:tc>
        <w:tc>
          <w:tcPr>
            <w:tcW w:type="dxa" w:w="6690"/>
          </w:tcPr>
          <w:p>
            <w:r/>
            <w:r>
              <w:rPr>
                <w:rFonts w:ascii="맑은 고딕" w:hAnsi="맑은 고딕" w:eastAsia="맑은 고딕"/>
                <w:b w:val="0"/>
                <w:sz w:val="19"/>
              </w:rPr>
              <w:t>사각지대 지수 산출, 원인 분석</w:t>
            </w:r>
          </w:p>
        </w:tc>
      </w:tr>
      <w:tr>
        <w:tc>
          <w:tcPr>
            <w:tcW w:type="dxa" w:w="1247"/>
          </w:tcPr>
          <w:p>
            <w:r/>
            <w:r>
              <w:rPr>
                <w:rFonts w:ascii="맑은 고딕" w:hAnsi="맑은 고딕" w:eastAsia="맑은 고딕"/>
                <w:b w:val="0"/>
                <w:sz w:val="19"/>
              </w:rPr>
              <w:t>3주차</w:t>
            </w:r>
          </w:p>
        </w:tc>
        <w:tc>
          <w:tcPr>
            <w:tcW w:type="dxa" w:w="1701"/>
          </w:tcPr>
          <w:p>
            <w:r/>
            <w:r>
              <w:rPr>
                <w:rFonts w:ascii="맑은 고딕" w:hAnsi="맑은 고딕" w:eastAsia="맑은 고딕"/>
                <w:b w:val="0"/>
                <w:sz w:val="19"/>
              </w:rPr>
              <w:t>본선+3주</w:t>
            </w:r>
          </w:p>
        </w:tc>
        <w:tc>
          <w:tcPr>
            <w:tcW w:type="dxa" w:w="6690"/>
          </w:tcPr>
          <w:p>
            <w:r/>
            <w:r>
              <w:rPr>
                <w:rFonts w:ascii="맑은 고딕" w:hAnsi="맑은 고딕" w:eastAsia="맑은 고딕"/>
                <w:b w:val="0"/>
                <w:sz w:val="19"/>
              </w:rPr>
              <w:t>재배분 시뮬레이션, 민감도·검증</w:t>
            </w:r>
          </w:p>
        </w:tc>
      </w:tr>
      <w:tr>
        <w:tc>
          <w:tcPr>
            <w:tcW w:type="dxa" w:w="1247"/>
          </w:tcPr>
          <w:p>
            <w:r/>
            <w:r>
              <w:rPr>
                <w:rFonts w:ascii="맑은 고딕" w:hAnsi="맑은 고딕" w:eastAsia="맑은 고딕"/>
                <w:b w:val="0"/>
                <w:sz w:val="19"/>
              </w:rPr>
              <w:t>4주차</w:t>
            </w:r>
          </w:p>
        </w:tc>
        <w:tc>
          <w:tcPr>
            <w:tcW w:type="dxa" w:w="1701"/>
          </w:tcPr>
          <w:p>
            <w:r/>
            <w:r>
              <w:rPr>
                <w:rFonts w:ascii="맑은 고딕" w:hAnsi="맑은 고딕" w:eastAsia="맑은 고딕"/>
                <w:b w:val="0"/>
                <w:sz w:val="19"/>
              </w:rPr>
              <w:t>본선+4주</w:t>
            </w:r>
          </w:p>
        </w:tc>
        <w:tc>
          <w:tcPr>
            <w:tcW w:type="dxa" w:w="6690"/>
          </w:tcPr>
          <w:p>
            <w:r/>
            <w:r>
              <w:rPr>
                <w:rFonts w:ascii="맑은 고딕" w:hAnsi="맑은 고딕" w:eastAsia="맑은 고딕"/>
                <w:b w:val="0"/>
                <w:sz w:val="19"/>
              </w:rPr>
              <w:t>지표 갱신 실증, 대시보드·발표 준비</w:t>
            </w:r>
          </w:p>
        </w:tc>
      </w:tr>
    </w:tbl>
    <w:p>
      <w:pPr>
        <w:spacing w:after="40"/>
      </w:pPr>
    </w:p>
    <w:p>
      <w:pPr>
        <w:spacing w:before="240" w:after="60"/>
      </w:pPr>
      <w:r>
        <w:rPr>
          <w:rFonts w:ascii="맑은 고딕" w:hAnsi="맑은 고딕" w:eastAsia="맑은 고딕"/>
          <w:b/>
          <w:color w:val="126E63"/>
          <w:sz w:val="26"/>
        </w:rPr>
        <w:t>7. 팀 구성과 역할</w:t>
      </w:r>
    </w:p>
    <w:p>
      <w:pPr>
        <w:spacing w:after="120" w:line="312" w:lineRule="auto"/>
        <w:ind w:firstLine="227"/>
      </w:pPr>
      <w:r>
        <w:rPr>
          <w:rFonts w:ascii="맑은 고딕" w:hAnsi="맑은 고딕" w:eastAsia="맑은 고딕"/>
          <w:b w:val="0"/>
          <w:sz w:val="21"/>
        </w:rPr>
        <w:t>세 명이 진단·분석·해석을 나눠 맡되, 데이터 정의와 결과 해석은 함께 검토한다. 대표 김현호는 포용이를 직접 개발해 데이터 수집 구조를 가장 잘 알고 있어 모델링과 총괄을 맡는다. 구체적 전공·소속은 참가신청서에 기재한다.</w:t>
      </w:r>
    </w:p>
    <w:tbl>
      <w:tblPr>
        <w:tblStyle w:val="LightList-Accent1"/>
        <w:tblW w:type="auto" w:w="0"/>
        <w:jc w:val="center"/>
        <w:tblLook w:firstColumn="1" w:firstRow="1" w:lastColumn="0" w:lastRow="0" w:noHBand="0" w:noVBand="1" w:val="04A0"/>
      </w:tblPr>
      <w:tblGrid>
        <w:gridCol w:w="3213"/>
        <w:gridCol w:w="3213"/>
        <w:gridCol w:w="3213"/>
      </w:tblGrid>
      <w:tr>
        <w:tc>
          <w:tcPr>
            <w:tcW w:type="dxa" w:w="1701"/>
          </w:tcPr>
          <w:p>
            <w:r/>
            <w:r>
              <w:rPr>
                <w:rFonts w:ascii="맑은 고딕" w:hAnsi="맑은 고딕" w:eastAsia="맑은 고딕"/>
                <w:b/>
                <w:sz w:val="19"/>
              </w:rPr>
              <w:t>이름</w:t>
            </w:r>
          </w:p>
        </w:tc>
        <w:tc>
          <w:tcPr>
            <w:tcW w:type="dxa" w:w="1928"/>
          </w:tcPr>
          <w:p>
            <w:r/>
            <w:r>
              <w:rPr>
                <w:rFonts w:ascii="맑은 고딕" w:hAnsi="맑은 고딕" w:eastAsia="맑은 고딕"/>
                <w:b/>
                <w:sz w:val="19"/>
              </w:rPr>
              <w:t>역할</w:t>
            </w:r>
          </w:p>
        </w:tc>
        <w:tc>
          <w:tcPr>
            <w:tcW w:type="dxa" w:w="6009"/>
          </w:tcPr>
          <w:p>
            <w:r/>
            <w:r>
              <w:rPr>
                <w:rFonts w:ascii="맑은 고딕" w:hAnsi="맑은 고딕" w:eastAsia="맑은 고딕"/>
                <w:b/>
                <w:sz w:val="19"/>
              </w:rPr>
              <w:t>담당</w:t>
            </w:r>
          </w:p>
        </w:tc>
      </w:tr>
      <w:tr>
        <w:tc>
          <w:tcPr>
            <w:tcW w:type="dxa" w:w="1701"/>
          </w:tcPr>
          <w:p>
            <w:r/>
            <w:r>
              <w:rPr>
                <w:rFonts w:ascii="맑은 고딕" w:hAnsi="맑은 고딕" w:eastAsia="맑은 고딕"/>
                <w:b w:val="0"/>
                <w:sz w:val="19"/>
              </w:rPr>
              <w:t>김현호 (대표)</w:t>
            </w:r>
          </w:p>
        </w:tc>
        <w:tc>
          <w:tcPr>
            <w:tcW w:type="dxa" w:w="1928"/>
          </w:tcPr>
          <w:p>
            <w:r/>
            <w:r>
              <w:rPr>
                <w:rFonts w:ascii="맑은 고딕" w:hAnsi="맑은 고딕" w:eastAsia="맑은 고딕"/>
                <w:b w:val="0"/>
                <w:sz w:val="19"/>
              </w:rPr>
              <w:t>총괄·AI/데이터 모델링</w:t>
            </w:r>
          </w:p>
        </w:tc>
        <w:tc>
          <w:tcPr>
            <w:tcW w:type="dxa" w:w="6009"/>
          </w:tcPr>
          <w:p>
            <w:r/>
            <w:r>
              <w:rPr>
                <w:rFonts w:ascii="맑은 고딕" w:hAnsi="맑은 고딕" w:eastAsia="맑은 고딕"/>
                <w:b w:val="0"/>
                <w:sz w:val="19"/>
              </w:rPr>
              <w:t>포용이 데이터 파이프라인, 사각지대 지수 설계, 재배분 시뮬레이션</w:t>
            </w:r>
          </w:p>
        </w:tc>
      </w:tr>
      <w:tr>
        <w:tc>
          <w:tcPr>
            <w:tcW w:type="dxa" w:w="1701"/>
          </w:tcPr>
          <w:p>
            <w:r/>
            <w:r>
              <w:rPr>
                <w:rFonts w:ascii="맑은 고딕" w:hAnsi="맑은 고딕" w:eastAsia="맑은 고딕"/>
                <w:b w:val="0"/>
                <w:sz w:val="19"/>
              </w:rPr>
              <w:t>이호진</w:t>
            </w:r>
          </w:p>
        </w:tc>
        <w:tc>
          <w:tcPr>
            <w:tcW w:type="dxa" w:w="1928"/>
          </w:tcPr>
          <w:p>
            <w:r/>
            <w:r>
              <w:rPr>
                <w:rFonts w:ascii="맑은 고딕" w:hAnsi="맑은 고딕" w:eastAsia="맑은 고딕"/>
                <w:b w:val="0"/>
                <w:sz w:val="19"/>
              </w:rPr>
              <w:t>재정·통계 분석</w:t>
            </w:r>
          </w:p>
        </w:tc>
        <w:tc>
          <w:tcPr>
            <w:tcW w:type="dxa" w:w="6009"/>
          </w:tcPr>
          <w:p>
            <w:r/>
            <w:r>
              <w:rPr>
                <w:rFonts w:ascii="맑은 고딕" w:hAnsi="맑은 고딕" w:eastAsia="맑은 고딕"/>
                <w:b w:val="0"/>
                <w:sz w:val="19"/>
              </w:rPr>
              <w:t>재정 공급 표준화, 패널·공간 분석, 수요 추정·가중 보정</w:t>
            </w:r>
          </w:p>
        </w:tc>
      </w:tr>
      <w:tr>
        <w:tc>
          <w:tcPr>
            <w:tcW w:type="dxa" w:w="1701"/>
          </w:tcPr>
          <w:p>
            <w:r/>
            <w:r>
              <w:rPr>
                <w:rFonts w:ascii="맑은 고딕" w:hAnsi="맑은 고딕" w:eastAsia="맑은 고딕"/>
                <w:b w:val="0"/>
                <w:sz w:val="19"/>
              </w:rPr>
              <w:t>신재원</w:t>
            </w:r>
          </w:p>
        </w:tc>
        <w:tc>
          <w:tcPr>
            <w:tcW w:type="dxa" w:w="1928"/>
          </w:tcPr>
          <w:p>
            <w:r/>
            <w:r>
              <w:rPr>
                <w:rFonts w:ascii="맑은 고딕" w:hAnsi="맑은 고딕" w:eastAsia="맑은 고딕"/>
                <w:b w:val="0"/>
                <w:sz w:val="19"/>
              </w:rPr>
              <w:t>정책 리서치·시각화</w:t>
            </w:r>
          </w:p>
        </w:tc>
        <w:tc>
          <w:tcPr>
            <w:tcW w:type="dxa" w:w="6009"/>
          </w:tcPr>
          <w:p>
            <w:r/>
            <w:r>
              <w:rPr>
                <w:rFonts w:ascii="맑은 고딕" w:hAnsi="맑은 고딕" w:eastAsia="맑은 고딕"/>
                <w:b w:val="0"/>
                <w:sz w:val="19"/>
              </w:rPr>
              <w:t>제도·문헌 검토, 결과 해석, 대시보드와 발표자료</w:t>
            </w:r>
          </w:p>
        </w:tc>
      </w:tr>
    </w:tbl>
    <w:p>
      <w:pPr>
        <w:spacing w:after="40"/>
      </w:pPr>
    </w:p>
    <w:p>
      <w:pPr>
        <w:spacing w:after="120" w:line="312" w:lineRule="auto"/>
        <w:ind w:firstLine="227"/>
      </w:pPr>
      <w:r>
        <w:rPr>
          <w:rFonts w:ascii="맑은 고딕" w:hAnsi="맑은 고딕" w:eastAsia="맑은 고딕"/>
          <w:b w:val="0"/>
          <w:sz w:val="21"/>
        </w:rPr>
        <w:t>참고로 대표 김현호는 AI 의도추출 모델 개발 경험과 ADsP·데이터분석관리사 1급, 파이낸스경영 전공 및 CFA Level 1 등 데이터와 금융 양쪽의 기반을 갖고 있다. 작동하는 프로토타입을 이미 보유하고 있다는 점이 이번 계획의 실현 가능성을 뒷받침한다.</w:t>
      </w:r>
    </w:p>
    <w:p>
      <w:pPr>
        <w:spacing w:before="240" w:after="60"/>
      </w:pPr>
      <w:r>
        <w:rPr>
          <w:rFonts w:ascii="맑은 고딕" w:hAnsi="맑은 고딕" w:eastAsia="맑은 고딕"/>
          <w:b/>
          <w:color w:val="126E63"/>
          <w:sz w:val="26"/>
        </w:rPr>
        <w:t>8. 한계와 연구 윤리</w:t>
      </w:r>
    </w:p>
    <w:p>
      <w:pPr>
        <w:spacing w:after="120" w:line="312" w:lineRule="auto"/>
        <w:ind w:firstLine="227"/>
      </w:pPr>
      <w:r>
        <w:rPr>
          <w:rFonts w:ascii="맑은 고딕" w:hAnsi="맑은 고딕" w:eastAsia="맑은 고딕"/>
          <w:b w:val="0"/>
          <w:sz w:val="21"/>
        </w:rPr>
        <w:t>솔직히 적어 둔다. 펀드조사 프록시는 진짜 소외계층과 다를 수 있어 보조 지표로만 쓰고, 포용이 신호의 표본 편향은 공표 통계로 보정한다. 분석은 상관과 진단의 범위에서 우선순위를 제시하는 데 그치고 인과를 단정하지 않는다. 개인정보는 수집·저장하지 않으며 시·도 단위 집계와 소표본 마스킹(5명 미만)을 적용한다. 이런 한계를 감추지 않고 설계에 미리 반영하는 것이 재정데이터를 다루는 분석의 기본이라고 생각한다.</w:t>
      </w:r>
    </w:p>
    <w:p/>
    <w:p>
      <w:r>
        <w:rPr>
          <w:rFonts w:ascii="맑은 고딕" w:hAnsi="맑은 고딕" w:eastAsia="맑은 고딕"/>
          <w:b w:val="0"/>
          <w:color w:val="666666"/>
          <w:sz w:val="18"/>
        </w:rPr>
        <w:t>별첨: ‘포용이’ 작동 프로토타입(웹/안드로이드) — 수요 신호 수집과 사각지대 대시보드의 실현 가능성 시연 자료.</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