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A73" w:rsidRPr="00D30F0F" w:rsidRDefault="00D509D9" w:rsidP="00D30F0F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芜湖</w:t>
      </w:r>
      <w:r w:rsidR="00D30F0F" w:rsidRPr="00D30F0F">
        <w:rPr>
          <w:b/>
          <w:sz w:val="36"/>
        </w:rPr>
        <w:t>模型简介</w:t>
      </w:r>
    </w:p>
    <w:p w:rsidR="00D30F0F" w:rsidRDefault="00D30F0F"/>
    <w:p w:rsidR="00D30F0F" w:rsidRDefault="00D30F0F" w:rsidP="00D30F0F">
      <w:pPr>
        <w:pStyle w:val="1"/>
      </w:pPr>
      <w:r>
        <w:rPr>
          <w:rFonts w:hint="eastAsia"/>
        </w:rPr>
        <w:t>片区</w:t>
      </w:r>
      <w:r>
        <w:t>模型</w:t>
      </w:r>
    </w:p>
    <w:p w:rsidR="00D30F0F" w:rsidRDefault="00D30F0F" w:rsidP="00D30F0F">
      <w:pPr>
        <w:pStyle w:val="2"/>
      </w:pPr>
      <w:r>
        <w:rPr>
          <w:rFonts w:hint="eastAsia"/>
        </w:rPr>
        <w:t>行政区</w:t>
      </w:r>
      <w:r>
        <w:t>分级</w:t>
      </w:r>
    </w:p>
    <w:p w:rsidR="00D30F0F" w:rsidRDefault="00A15A8E" w:rsidP="00D30F0F">
      <w:r>
        <w:rPr>
          <w:rFonts w:hint="eastAsia"/>
        </w:rPr>
        <w:t>分级详情</w:t>
      </w:r>
      <w:r w:rsidR="00D30F0F">
        <w:t>见附录</w:t>
      </w:r>
      <w:r w:rsidR="00D30F0F">
        <w:rPr>
          <w:rFonts w:hint="eastAsia"/>
        </w:rPr>
        <w:t>1</w:t>
      </w:r>
      <w:r w:rsidR="00D30F0F">
        <w:rPr>
          <w:rFonts w:hint="eastAsia"/>
        </w:rPr>
        <w:t>，</w:t>
      </w:r>
      <w:r w:rsidR="00D30F0F">
        <w:t>不同</w:t>
      </w:r>
      <w:r w:rsidR="00D30F0F">
        <w:rPr>
          <w:rFonts w:hint="eastAsia"/>
        </w:rPr>
        <w:t>级别</w:t>
      </w:r>
      <w:r w:rsidR="00D30F0F">
        <w:t>之间的</w:t>
      </w:r>
      <w:r w:rsidR="00D30F0F">
        <w:rPr>
          <w:rFonts w:hint="eastAsia"/>
        </w:rPr>
        <w:t>价格</w:t>
      </w:r>
      <w:r w:rsidR="00D30F0F">
        <w:t>分布如下图所示：</w:t>
      </w:r>
    </w:p>
    <w:p w:rsidR="00D30F0F" w:rsidRPr="00D30F0F" w:rsidRDefault="00D509D9" w:rsidP="00D30F0F">
      <w:r>
        <w:rPr>
          <w:noProof/>
        </w:rPr>
        <w:drawing>
          <wp:inline distT="0" distB="0" distL="0" distR="0" wp14:anchorId="1C7C9388" wp14:editId="7684D281">
            <wp:extent cx="5274310" cy="31661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0F" w:rsidRDefault="00D30F0F" w:rsidP="00D30F0F">
      <w:pPr>
        <w:pStyle w:val="2"/>
      </w:pPr>
      <w:r>
        <w:rPr>
          <w:rFonts w:hint="eastAsia"/>
        </w:rPr>
        <w:t>街道</w:t>
      </w:r>
      <w:r>
        <w:t>分级</w:t>
      </w:r>
    </w:p>
    <w:p w:rsidR="00A15A8E" w:rsidRDefault="00A15A8E" w:rsidP="00A15A8E">
      <w:r>
        <w:rPr>
          <w:rFonts w:hint="eastAsia"/>
        </w:rPr>
        <w:t>分级详情</w:t>
      </w:r>
      <w:r>
        <w:t>见附录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不同</w:t>
      </w:r>
      <w:r>
        <w:rPr>
          <w:rFonts w:hint="eastAsia"/>
        </w:rPr>
        <w:t>级别</w:t>
      </w:r>
      <w:r>
        <w:t>之间的</w:t>
      </w:r>
      <w:r>
        <w:rPr>
          <w:rFonts w:hint="eastAsia"/>
        </w:rPr>
        <w:t>价格</w:t>
      </w:r>
      <w:r>
        <w:t>分布如下图所示：</w:t>
      </w:r>
    </w:p>
    <w:p w:rsidR="00A15A8E" w:rsidRDefault="00D509D9" w:rsidP="00A15A8E">
      <w:r>
        <w:rPr>
          <w:noProof/>
        </w:rPr>
        <w:lastRenderedPageBreak/>
        <w:drawing>
          <wp:inline distT="0" distB="0" distL="0" distR="0" wp14:anchorId="15399BDF" wp14:editId="42705F51">
            <wp:extent cx="5274310" cy="31311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0F" w:rsidRDefault="00D30F0F" w:rsidP="00D30F0F">
      <w:pPr>
        <w:pStyle w:val="2"/>
      </w:pPr>
      <w:r>
        <w:rPr>
          <w:rFonts w:hint="eastAsia"/>
        </w:rPr>
        <w:t>学区</w:t>
      </w:r>
      <w:r>
        <w:t>分级</w:t>
      </w:r>
    </w:p>
    <w:p w:rsidR="00D30F0F" w:rsidRDefault="00D30F0F" w:rsidP="00D30F0F">
      <w:pPr>
        <w:pStyle w:val="3"/>
      </w:pPr>
      <w:r>
        <w:rPr>
          <w:rFonts w:hint="eastAsia"/>
        </w:rPr>
        <w:t>小学</w:t>
      </w:r>
      <w:r>
        <w:t>分级</w:t>
      </w:r>
    </w:p>
    <w:p w:rsidR="00A15A8E" w:rsidRDefault="00A15A8E" w:rsidP="00A15A8E">
      <w:r>
        <w:rPr>
          <w:rFonts w:hint="eastAsia"/>
        </w:rPr>
        <w:t>分级详情</w:t>
      </w:r>
      <w:r>
        <w:t>见附录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不同</w:t>
      </w:r>
      <w:r>
        <w:rPr>
          <w:rFonts w:hint="eastAsia"/>
        </w:rPr>
        <w:t>级别</w:t>
      </w:r>
      <w:r>
        <w:t>之间的</w:t>
      </w:r>
      <w:r>
        <w:rPr>
          <w:rFonts w:hint="eastAsia"/>
        </w:rPr>
        <w:t>价格</w:t>
      </w:r>
      <w:r>
        <w:t>分布如下图所示：</w:t>
      </w:r>
    </w:p>
    <w:p w:rsidR="00A15A8E" w:rsidRPr="00A15A8E" w:rsidRDefault="00D509D9" w:rsidP="00A15A8E">
      <w:r>
        <w:rPr>
          <w:noProof/>
        </w:rPr>
        <w:drawing>
          <wp:inline distT="0" distB="0" distL="0" distR="0" wp14:anchorId="518CE0D8" wp14:editId="3EADDF69">
            <wp:extent cx="5274310" cy="30524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0F" w:rsidRDefault="00D30F0F" w:rsidP="00D30F0F">
      <w:pPr>
        <w:pStyle w:val="3"/>
      </w:pPr>
      <w:r>
        <w:rPr>
          <w:rFonts w:hint="eastAsia"/>
        </w:rPr>
        <w:t>初中</w:t>
      </w:r>
      <w:r>
        <w:t>分级</w:t>
      </w:r>
    </w:p>
    <w:p w:rsidR="00A15A8E" w:rsidRDefault="00A15A8E" w:rsidP="00A15A8E">
      <w:r>
        <w:rPr>
          <w:rFonts w:hint="eastAsia"/>
        </w:rPr>
        <w:t>分级详情</w:t>
      </w:r>
      <w:r>
        <w:t>见附录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不同</w:t>
      </w:r>
      <w:r>
        <w:rPr>
          <w:rFonts w:hint="eastAsia"/>
        </w:rPr>
        <w:t>级别</w:t>
      </w:r>
      <w:r>
        <w:t>之间的</w:t>
      </w:r>
      <w:r>
        <w:rPr>
          <w:rFonts w:hint="eastAsia"/>
        </w:rPr>
        <w:t>价格</w:t>
      </w:r>
      <w:r>
        <w:t>分布如下图所示：</w:t>
      </w:r>
    </w:p>
    <w:p w:rsidR="00A15A8E" w:rsidRPr="00A15A8E" w:rsidRDefault="00D509D9" w:rsidP="00A15A8E">
      <w:r>
        <w:rPr>
          <w:noProof/>
        </w:rPr>
        <w:lastRenderedPageBreak/>
        <w:drawing>
          <wp:inline distT="0" distB="0" distL="0" distR="0" wp14:anchorId="6B7834E3" wp14:editId="48D19242">
            <wp:extent cx="5274310" cy="30822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0F" w:rsidRDefault="00D30F0F" w:rsidP="00D30F0F">
      <w:pPr>
        <w:pStyle w:val="2"/>
      </w:pPr>
      <w:r>
        <w:rPr>
          <w:rFonts w:hint="eastAsia"/>
        </w:rPr>
        <w:t>土地级别</w:t>
      </w:r>
    </w:p>
    <w:p w:rsidR="00A15A8E" w:rsidRDefault="00D509D9" w:rsidP="00A15A8E">
      <w:r>
        <w:rPr>
          <w:noProof/>
        </w:rPr>
        <w:drawing>
          <wp:inline distT="0" distB="0" distL="0" distR="0" wp14:anchorId="2AA5C709" wp14:editId="12C3E7F0">
            <wp:extent cx="5274310" cy="30422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8E" w:rsidRDefault="00A15A8E" w:rsidP="00A15A8E">
      <w:pPr>
        <w:pStyle w:val="2"/>
      </w:pPr>
      <w:r>
        <w:rPr>
          <w:rFonts w:hint="eastAsia"/>
        </w:rPr>
        <w:t>片区模型</w:t>
      </w:r>
    </w:p>
    <w:p w:rsidR="00A15A8E" w:rsidRDefault="00A15A8E" w:rsidP="00A15A8E">
      <w:r>
        <w:rPr>
          <w:rFonts w:hint="eastAsia"/>
        </w:rPr>
        <w:t>根据</w:t>
      </w:r>
      <w:r>
        <w:t>上述</w:t>
      </w:r>
      <w:r>
        <w:rPr>
          <w:rFonts w:hint="eastAsia"/>
        </w:rPr>
        <w:t>因素可以</w:t>
      </w:r>
      <w:r>
        <w:t>将合肥市的小区分为</w:t>
      </w:r>
      <w:r>
        <w:t>396</w:t>
      </w:r>
      <w:r>
        <w:rPr>
          <w:rFonts w:hint="eastAsia"/>
        </w:rPr>
        <w:t>个</w:t>
      </w:r>
      <w:r>
        <w:t>片区，</w:t>
      </w:r>
      <w:r>
        <w:rPr>
          <w:rFonts w:hint="eastAsia"/>
        </w:rPr>
        <w:t>根据</w:t>
      </w:r>
      <w:r>
        <w:t>各因素等级可以建立线性模型：</w:t>
      </w:r>
    </w:p>
    <w:p w:rsidR="00A15A8E" w:rsidRPr="00343E46" w:rsidRDefault="00343E46" w:rsidP="00A15A8E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片区</m:t>
          </m:r>
          <m:r>
            <m:rPr>
              <m:sty m:val="p"/>
            </m:rPr>
            <w:rPr>
              <w:rFonts w:ascii="Cambria Math" w:hAnsi="Cambria Math"/>
            </w:rPr>
            <m:t>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基准</m:t>
          </m:r>
          <m:r>
            <m:rPr>
              <m:sty m:val="p"/>
            </m:rPr>
            <w:rPr>
              <w:rFonts w:ascii="Cambria Math" w:hAnsi="Cambria Math"/>
            </w:rPr>
            <m:t>价格</m:t>
          </m:r>
          <m:r>
            <m:rPr>
              <m:sty m:val="p"/>
            </m:rPr>
            <w:rPr>
              <w:rFonts w:ascii="Cambria Math" w:hAnsi="Cambria Math"/>
            </w:rPr>
            <m:t>*(</m:t>
          </m:r>
          <m:r>
            <w:rPr>
              <w:rFonts w:ascii="Cambria Math" w:hAnsi="Cambria Math"/>
            </w:rPr>
            <m:t>0.0755*</m:t>
          </m:r>
          <m:r>
            <m:rPr>
              <m:sty m:val="p"/>
            </m:rPr>
            <w:rPr>
              <w:rFonts w:ascii="Cambria Math" w:hAnsi="Cambria Math" w:hint="eastAsia"/>
            </w:rPr>
            <m:t>行政区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+0.0564*</m:t>
          </m:r>
          <m:r>
            <m:rPr>
              <m:sty m:val="p"/>
            </m:rPr>
            <w:rPr>
              <w:rFonts w:ascii="Cambria Math" w:hAnsi="Cambria Math" w:hint="eastAsia"/>
            </w:rPr>
            <m:t>小学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+0.0259*</m:t>
          </m:r>
          <m:r>
            <m:rPr>
              <m:sty m:val="p"/>
            </m:rPr>
            <w:rPr>
              <w:rFonts w:ascii="Cambria Math" w:hAnsi="Cambria Math" w:hint="eastAsia"/>
            </w:rPr>
            <m:t>中学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+0.0139*</m:t>
          </m:r>
          <m:r>
            <m:rPr>
              <m:sty m:val="p"/>
            </m:rPr>
            <w:rPr>
              <w:rFonts w:ascii="Cambria Math" w:hAnsi="Cambria Math" w:hint="eastAsia"/>
            </w:rPr>
            <m:t>街道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-0.0364*</m:t>
          </m:r>
          <m:r>
            <m:rPr>
              <m:sty m:val="p"/>
            </m:rPr>
            <w:rPr>
              <w:rFonts w:ascii="Cambria Math" w:hAnsi="Cambria Math" w:hint="eastAsia"/>
            </w:rPr>
            <m:t>土地级别</m:t>
          </m:r>
          <m:r>
            <w:rPr>
              <w:rFonts w:ascii="Cambria Math" w:hAnsi="Cambria Math"/>
            </w:rPr>
            <m:t>+0.5633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:rsidR="00343E46" w:rsidRDefault="00343E46" w:rsidP="00A15A8E">
      <w:r>
        <w:rPr>
          <w:rFonts w:hint="eastAsia"/>
        </w:rPr>
        <w:t>预测</w:t>
      </w:r>
      <w:r>
        <w:t>得到的平均误差为</w:t>
      </w:r>
      <w:r w:rsidR="008B0D1E">
        <w:rPr>
          <w:rFonts w:hint="eastAsia"/>
        </w:rPr>
        <w:t>8.07</w:t>
      </w:r>
      <w:r>
        <w:t>%</w:t>
      </w:r>
      <w:r>
        <w:rPr>
          <w:rFonts w:hint="eastAsia"/>
        </w:rPr>
        <w:t>。</w:t>
      </w:r>
    </w:p>
    <w:p w:rsidR="004B661F" w:rsidRPr="00343E46" w:rsidRDefault="00A32FEC" w:rsidP="00A15A8E">
      <w:r>
        <w:rPr>
          <w:noProof/>
        </w:rPr>
        <w:lastRenderedPageBreak/>
        <w:drawing>
          <wp:inline distT="0" distB="0" distL="0" distR="0" wp14:anchorId="43E4463A" wp14:editId="23BD008A">
            <wp:extent cx="5274310" cy="3112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0F0F" w:rsidRDefault="00D30F0F" w:rsidP="00D30F0F">
      <w:pPr>
        <w:pStyle w:val="1"/>
      </w:pPr>
      <w:r>
        <w:rPr>
          <w:rFonts w:hint="eastAsia"/>
        </w:rPr>
        <w:t>小区</w:t>
      </w:r>
      <w:r>
        <w:t>模型</w:t>
      </w:r>
    </w:p>
    <w:p w:rsidR="00D30F0F" w:rsidRDefault="00D77563">
      <w:r>
        <w:rPr>
          <w:rFonts w:hint="eastAsia"/>
        </w:rPr>
        <w:t>在得到</w:t>
      </w:r>
      <w:r w:rsidR="00AD0C87">
        <w:t>片区价格之后，</w:t>
      </w:r>
      <w:r w:rsidR="00AD0C87">
        <w:rPr>
          <w:rFonts w:hint="eastAsia"/>
        </w:rPr>
        <w:t>可以</w:t>
      </w:r>
      <w:r w:rsidR="00AD0C87">
        <w:t>在片区价格的基础上，根据小区周边的交通、医疗、商业等配套设施对小区的价格进行评估。</w:t>
      </w:r>
    </w:p>
    <w:p w:rsidR="00AD0C87" w:rsidRDefault="00AD0C87">
      <w:r>
        <w:rPr>
          <w:rFonts w:hint="eastAsia"/>
        </w:rPr>
        <w:t>模型</w:t>
      </w:r>
      <w:r>
        <w:t>公式为：</w:t>
      </w:r>
    </w:p>
    <w:p w:rsidR="00AD0C87" w:rsidRPr="00F74529" w:rsidRDefault="00AD0C8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房屋价格</m:t>
          </m:r>
          <m:r>
            <m:rPr>
              <m:sty m:val="p"/>
            </m:rPr>
            <w:rPr>
              <w:rFonts w:ascii="Cambria Math" w:hAnsi="Cambria Math"/>
            </w:rPr>
            <m:t>=1.0696*</m:t>
          </m:r>
          <m:r>
            <m:rPr>
              <m:sty m:val="p"/>
            </m:rPr>
            <w:rPr>
              <w:rFonts w:ascii="Cambria Math" w:hAnsi="Cambria Math" w:hint="eastAsia"/>
            </w:rPr>
            <m:t>片区价格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基准</m:t>
          </m:r>
          <m:r>
            <m:rPr>
              <m:sty m:val="p"/>
            </m:rPr>
            <w:rPr>
              <w:rFonts w:ascii="Cambria Math" w:hAnsi="Cambria Math"/>
            </w:rPr>
            <m:t>价格</m:t>
          </m:r>
          <m:r>
            <m:rPr>
              <m:sty m:val="p"/>
            </m:rPr>
            <w:rPr>
              <w:rFonts w:ascii="Cambria Math" w:hAnsi="Cambria Math"/>
            </w:rPr>
            <m:t>*(0.0558*</m:t>
          </m:r>
          <m:r>
            <m:rPr>
              <m:sty m:val="p"/>
            </m:rPr>
            <w:rPr>
              <w:rFonts w:ascii="Cambria Math" w:hAnsi="Cambria Math" w:hint="eastAsia"/>
            </w:rPr>
            <m:t>火车站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-0.0236*</m:t>
          </m:r>
          <m:r>
            <m:rPr>
              <m:sty m:val="p"/>
            </m:rPr>
            <w:rPr>
              <w:rFonts w:ascii="Cambria Math" w:hAnsi="Cambria Math" w:hint="eastAsia"/>
            </w:rPr>
            <m:t>汽车站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-0.0135*</m:t>
          </m:r>
          <m:r>
            <m:rPr>
              <m:sty m:val="p"/>
            </m:rPr>
            <w:rPr>
              <w:rFonts w:ascii="Cambria Math" w:hAnsi="Cambria Math"/>
            </w:rPr>
            <m:t>医院等级</m:t>
          </m:r>
          <m:r>
            <m:rPr>
              <m:sty m:val="p"/>
            </m:rPr>
            <w:rPr>
              <w:rFonts w:ascii="Cambria Math" w:hAnsi="Cambria Math"/>
            </w:rPr>
            <m:t>+0.0077*</m:t>
          </m:r>
          <m:r>
            <m:rPr>
              <m:sty m:val="p"/>
            </m:rPr>
            <w:rPr>
              <w:rFonts w:ascii="Cambria Math" w:hAnsi="Cambria Math" w:hint="eastAsia"/>
            </w:rPr>
            <m:t>超市等级</m:t>
          </m:r>
          <m:r>
            <m:rPr>
              <m:sty m:val="p"/>
            </m:rPr>
            <w:rPr>
              <w:rFonts w:ascii="Cambria Math" w:hAnsi="Cambria Math"/>
            </w:rPr>
            <m:t>+0.0071*</m:t>
          </m:r>
          <m:r>
            <m:rPr>
              <m:sty m:val="p"/>
            </m:rPr>
            <w:rPr>
              <w:rFonts w:ascii="Cambria Math" w:hAnsi="Cambria Math"/>
            </w:rPr>
            <m:t>公园等级</m:t>
          </m:r>
          <m:r>
            <m:rPr>
              <m:sty m:val="p"/>
            </m:rPr>
            <w:rPr>
              <w:rFonts w:ascii="Cambria Math" w:hAnsi="Cambria Math"/>
            </w:rPr>
            <m:t>-0.0055*</m:t>
          </m:r>
          <m:r>
            <m:rPr>
              <m:sty m:val="p"/>
            </m:rPr>
            <w:rPr>
              <w:rFonts w:ascii="Cambria Math" w:hAnsi="Cambria Math" w:hint="eastAsia"/>
            </w:rPr>
            <m:t>景区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+0.0041*</m:t>
          </m:r>
          <m:r>
            <m:rPr>
              <m:sty m:val="p"/>
            </m:rPr>
            <w:rPr>
              <w:rFonts w:ascii="Cambria Math" w:hAnsi="Cambria Math" w:hint="eastAsia"/>
            </w:rPr>
            <m:t>公交等级</m:t>
          </m:r>
          <m:r>
            <m:rPr>
              <m:sty m:val="p"/>
            </m:rPr>
            <w:rPr>
              <w:rFonts w:ascii="Cambria Math" w:hAnsi="Cambria Math"/>
            </w:rPr>
            <m:t>-0.0030*</m:t>
          </m:r>
          <m:r>
            <m:rPr>
              <m:sty m:val="p"/>
            </m:rPr>
            <w:rPr>
              <w:rFonts w:ascii="Cambria Math" w:hAnsi="Cambria Math" w:hint="eastAsia"/>
            </w:rPr>
            <m:t>商场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+0.0020*</m:t>
          </m:r>
          <m:r>
            <m:rPr>
              <m:sty m:val="p"/>
            </m:rPr>
            <w:rPr>
              <w:rFonts w:ascii="Cambria Math" w:hAnsi="Cambria Math" w:hint="eastAsia"/>
            </w:rPr>
            <m:t>银行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-0.0836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:rsidR="00F74529" w:rsidRDefault="004B661F">
      <w:r>
        <w:rPr>
          <w:rFonts w:hint="eastAsia"/>
        </w:rPr>
        <w:t>模型</w:t>
      </w:r>
      <w:r>
        <w:t>准确率为</w:t>
      </w:r>
      <w:r w:rsidR="00AA5951">
        <w:t>9.97</w:t>
      </w:r>
      <w:r>
        <w:t>%</w:t>
      </w:r>
      <w:r>
        <w:t>。</w:t>
      </w:r>
    </w:p>
    <w:p w:rsidR="004B661F" w:rsidRPr="00F74529" w:rsidRDefault="00A32FEC">
      <w:r>
        <w:rPr>
          <w:noProof/>
        </w:rPr>
        <w:drawing>
          <wp:inline distT="0" distB="0" distL="0" distR="0" wp14:anchorId="7B1CB4DF" wp14:editId="13CF8933">
            <wp:extent cx="5274310" cy="3110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61F" w:rsidRPr="00F74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142FF"/>
    <w:multiLevelType w:val="multilevel"/>
    <w:tmpl w:val="272C18B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B8"/>
    <w:rsid w:val="001103B8"/>
    <w:rsid w:val="00343E46"/>
    <w:rsid w:val="003E02F9"/>
    <w:rsid w:val="004B661F"/>
    <w:rsid w:val="008139D5"/>
    <w:rsid w:val="008B0D1E"/>
    <w:rsid w:val="00A046EC"/>
    <w:rsid w:val="00A06654"/>
    <w:rsid w:val="00A15A8E"/>
    <w:rsid w:val="00A32FEC"/>
    <w:rsid w:val="00AA5951"/>
    <w:rsid w:val="00AD0C87"/>
    <w:rsid w:val="00D30F0F"/>
    <w:rsid w:val="00D509D9"/>
    <w:rsid w:val="00D77563"/>
    <w:rsid w:val="00F7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D505D-E8AD-4B02-BF87-65D23A5F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F0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F0F"/>
    <w:pPr>
      <w:keepNext/>
      <w:keepLines/>
      <w:numPr>
        <w:ilvl w:val="1"/>
        <w:numId w:val="1"/>
      </w:numPr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F0F"/>
    <w:pPr>
      <w:keepNext/>
      <w:keepLines/>
      <w:numPr>
        <w:ilvl w:val="2"/>
        <w:numId w:val="1"/>
      </w:numPr>
      <w:spacing w:before="60" w:after="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0F0F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D30F0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30F0F"/>
    <w:rPr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343E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78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6</cp:revision>
  <dcterms:created xsi:type="dcterms:W3CDTF">2018-05-14T06:09:00Z</dcterms:created>
  <dcterms:modified xsi:type="dcterms:W3CDTF">2018-05-16T03:44:00Z</dcterms:modified>
</cp:coreProperties>
</file>