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DataGuard DG-100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2A43"/>
          <w:sz w:val="48"/>
          <w:szCs w:val="48"/>
        </w:rPr>
        <w:t xml:space="preserve">Prototype Bring-up &amp; Test Protocol</w:t>
      </w:r>
    </w:p>
    <w:p>
      <w:pPr>
        <w:spacing w:after="200"/>
      </w:pPr>
      <w:r>
        <w:rPr>
          <w:rFonts w:ascii="Arial" w:cs="Arial" w:eastAsia="Arial" w:hAnsi="Arial"/>
          <w:color w:val="5B6B7A"/>
          <w:sz w:val="24"/>
          <w:szCs w:val="24"/>
        </w:rPr>
        <w:t xml:space="preserve">Electromechanical commissioning procedure and evidence record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B2733"/>
          <w:sz w:val="20"/>
          <w:szCs w:val="20"/>
        </w:rPr>
        <w:t xml:space="preserve">Arctic Engineering · Cape Town</w:t>
      </w:r>
    </w:p>
    <w:p>
      <w:pPr>
        <w:spacing w:after="40"/>
      </w:pPr>
      <w:r>
        <w:rPr>
          <w:rFonts w:ascii="Arial" w:cs="Arial" w:eastAsia="Arial" w:hAnsi="Arial"/>
          <w:color w:val="5B6B7A"/>
          <w:sz w:val="18"/>
          <w:szCs w:val="18"/>
        </w:rPr>
        <w:t xml:space="preserve">Document owner: ___________________     Version: _______     Date: ____ / ____ /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A5B00"/>
          <w:sz w:val="18"/>
          <w:szCs w:val="18"/>
        </w:rPr>
        <w:t xml:space="preserve">Records produced by this procedure form part of the R&amp;D evidence base — date, initial and attach evidence at every stage.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How to use this protocol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Work through the stages in order. A stage is only passed when its expected result is met; if it fails, record what happened and the corrective action, then re-test — failed attempts and iterations are themselves valuable R&amp;D evidence, so do not discard them.</w:t>
      </w:r>
    </w:p>
    <w:p>
      <w:pPr>
        <w:spacing w:after="120"/>
      </w:pPr>
      <w:r>
        <w:rPr>
          <w:rFonts w:ascii="Arial" w:cs="Arial" w:eastAsia="Arial" w:hAnsi="Arial"/>
        </w:rPr>
        <w:t xml:space="preserve">For every numbered check, fill in the </w:t>
      </w:r>
      <w:r>
        <w:rPr>
          <w:rFonts w:ascii="Arial" w:cs="Arial" w:eastAsia="Arial" w:hAnsi="Arial"/>
          <w:b/>
          <w:bCs/>
        </w:rPr>
        <w:t xml:space="preserve">Result · date · initials</w:t>
      </w:r>
      <w:r>
        <w:rPr>
          <w:rFonts w:ascii="Arial" w:cs="Arial" w:eastAsia="Arial" w:hAnsi="Arial"/>
        </w:rPr>
        <w:t xml:space="preserve"> column and capture at least one piece of evidence: a photograph of the bench/wiring, a serial-monitor or dashboard screenshot, or the measured values. Reference each evidence file in the table (e.g. </w:t>
      </w:r>
      <w:r>
        <w:rPr>
          <w:rFonts w:ascii="Arial" w:cs="Arial" w:eastAsia="Arial" w:hAnsi="Arial"/>
          <w:i/>
          <w:iCs/>
        </w:rPr>
        <w:t xml:space="preserve">IMG_014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Equipment &amp;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Bench power supply: </w:t>
      </w:r>
      <w:r>
        <w:rPr>
          <w:rFonts w:ascii="Arial" w:cs="Arial" w:eastAsia="Arial" w:hAnsi="Arial"/>
        </w:rPr>
        <w:t xml:space="preserve">Separate, current-limited rail for the optical LED supply (VLED), isolated from the ESP32 5 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Digital multimeter: </w:t>
      </w:r>
      <w:r>
        <w:rPr>
          <w:rFonts w:ascii="Arial" w:cs="Arial" w:eastAsia="Arial" w:hAnsi="Arial"/>
        </w:rPr>
        <w:t xml:space="preserve">Continuity, rail voltages, current draw.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Laptop + USB: </w:t>
      </w:r>
      <w:r>
        <w:rPr>
          <w:rFonts w:ascii="Arial" w:cs="Arial" w:eastAsia="Arial" w:hAnsi="Arial"/>
        </w:rPr>
        <w:t xml:space="preserve">PlatformIO for flashing and serial monitor; ADI Wavetool for the optical chamber (see chamber checklist).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Smoke sources: </w:t>
      </w:r>
      <w:r>
        <w:rPr>
          <w:rFonts w:ascii="Arial" w:cs="Arial" w:eastAsia="Arial" w:hAnsi="Arial"/>
        </w:rPr>
        <w:t xml:space="preserve">Smouldering source (smouldering cotton wick or incense) for large particles; a small controlled flame (tea-light) for fine particles; a reference smoke detector for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Air handling: </w:t>
      </w:r>
      <w:r>
        <w:rPr>
          <w:rFonts w:ascii="Arial" w:cs="Arial" w:eastAsia="Arial" w:hAnsi="Arial"/>
        </w:rPr>
        <w:t xml:space="preserve">Small fan and a way to clear the chamber/enclosure to clean air between tests; conduct flame tests safely with extinguisher to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ESD precautions: </w:t>
      </w:r>
      <w:r>
        <w:rPr>
          <w:rFonts w:ascii="Arial" w:cs="Arial" w:eastAsia="Arial" w:hAnsi="Arial"/>
        </w:rPr>
        <w:t xml:space="preserve">Wrist strap / grounded mat when handling boards and sensors.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0 — Pre-power inspection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inspection of all boards and the populated chamber; no solder bridges, correct component orientation (LED anodes, photodiode cathodes).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defects; components seated in correct bores at the design angles.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Continuity / short test between 3V3, 5V, VLED and GND with power OFF.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short between any supply rail and ground.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VLED is on its own rail, not bridged to the ESP32 5 V.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VLED isolated; common ground only.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1 — Power &amp; supply rails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power; measure 3V3 and 5V rails at the board.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Rails within ±5% of nominal.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 VLED rail.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the LED operating range (≥ blue LED forward voltage + headroom).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total current draw at idle.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Sane, stable; no thermal runaway or browning-out.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2 — MCU, firmware &amp; communications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 firmware (cd firmware &amp;&amp; pio run -t upload). Open serial monitor at 115200.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boot log; no panics or reset loops.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Wi-Fi association.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obtains an IP; RSSI reported.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MQTT connection to the broker.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Connected; status/heartbeat visible on the broker.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3 — I²C bus scan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Confirm every I²C device enumerates before testing sensors individually.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an I²C scan (serial log or scanner sketch).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ADS1115 at 0x48, BME680 at 0x77 and the ADPD4101 at 0x24 all present.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bus stability with all three devices fitted.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Stable; no NAK storms — adjust pull-ups toward ~2.2–4.7 kΩ effective if needed.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4 — Individual sensor verification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4.1  BME680 — air chemistry &amp; climate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temperature, humidity, pressure.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Plausible vs ambient room conditions.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VOC resistance trend (breathe near sensor).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Reading responds, then recovers to baseline.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4.2  Gas — ADS1115 + Alphasense H₂ / 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raw WE and AE channels (A0–A3); record clean-air baseline.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differential baseline; no rail-pinning.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 known stimulus to the CO / H₂ cell (per cell datasheet-safe method).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Reading rises above baseline and recovers.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4.3  MAX31865 + PT100 — precision temperature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RTD temperature; compare to a reference thermometer.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sensor tolerance of reference.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the probe; observe rate-of-rise.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and rate track the applied change.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4.4  VESDA &amp; suppression analog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Sweep the VESDA input (pot or 4–20 mA simulation) on GPIO36.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ADC reading scales correctly across range.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/ simulate suppression cylinder pressure on GPIO39.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reading scales correctly.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4.5  PMS5003 particles (if fitted)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use_pms; read particle counts on UART2.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PM1.0 / PM2.5 / PM10 frames received.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5 — Optical chamber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optical chamber has its own detailed procedure — see </w:t>
      </w:r>
      <w:r>
        <w:rPr>
          <w:rFonts w:ascii="Arial" w:cs="Arial" w:eastAsia="Arial" w:hAnsi="Arial"/>
          <w:b/>
          <w:bCs/>
        </w:rPr>
        <w:t xml:space="preserve">Optical Chamber Bench Bring-up &amp; Calibration Checklist</w:t>
      </w:r>
      <w:r>
        <w:rPr>
          <w:rFonts w:ascii="Arial" w:cs="Arial" w:eastAsia="Arial" w:hAnsi="Arial"/>
        </w:rPr>
        <w:t xml:space="preserve">. Record the headline pass/fail here once that checklist is complete.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the chamber bench checklist (Wavetool config, baseline, smoke response, register export, on-device boot).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clean-air baseline and a clear scatter response to smoke; chamber.smoke_pct populates in telemetry.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dual-wavelength discrimination (smouldering vs flaming sources).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Blue/IR and forward/back ratios shift in the expected directions between the two smoke types.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6 — Integrated multi-sensor classification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a smouldering source near the intake.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+ optical signals rise; classifier escalates along the ladder; fire-type hint = smouldering.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a fine-particle flame source.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Rate-of-rise + fine-particle signature; fire-type hint = flaming.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a confounder (steam / cooking) with no real fire.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alone may rise but the absence of gas + rate-of-rise keeps the device from escalating (false-alarm rejection).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the severity ladder (monitor → emergency) and on-board sounder/relay behaviour.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 track the graded confidence as configured.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Stage 7 — End-to-end cloud &amp; control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telemetry appears on the dashboard for the device.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values update; device shows online.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an escalation; confirm event logged and alert sent.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row recorded; email / SMS alert received.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a threshold from the admin UI; confirm it reaches the device.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applies the change and echoes confstate — no reflash required.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rPr>
          <w:tblHeader/>
        </w:trP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signature</w:t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/ tested by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4" w:sz="4" w:space="4"/>
      </w:pBdr>
    </w:pPr>
    <w:r>
      <w:rPr>
        <w:rFonts w:ascii="Arial" w:cs="Arial" w:eastAsia="Arial" w:hAnsi="Arial"/>
        <w:color w:val="5B6B7A"/>
        <w:sz w:val="14"/>
        <w:szCs w:val="14"/>
      </w:rPr>
      <w:t xml:space="preserve">DataGuard DG-100 — Bring-up &amp; Test Protocol · Arctic Engineering · Confidential   ·   </w:t>
    </w:r>
    <w:r>
      <w:rPr>
        <w:rFonts w:ascii="Arial" w:cs="Arial" w:eastAsia="Arial" w:hAnsi="Arial"/>
        <w:color w:val="5B6B7A"/>
        <w:sz w:val="14"/>
        <w:szCs w:val="14"/>
      </w:rPr>
      <w:t xml:space="preserve">Page </w:t>
    </w:r>
    <w:r>
      <w:rPr>
        <w:rFonts w:ascii="Arial" w:cs="Arial" w:eastAsia="Arial" w:hAnsi="Arial"/>
        <w:color w:val="5B6B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2A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2026-06-22T10:21:23.483Z</dcterms:created>
  <dcterms:modified xsi:type="dcterms:W3CDTF">2026-06-22T10:21:23.483Z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