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DataGuard DG-100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2A43"/>
          <w:sz w:val="48"/>
          <w:szCs w:val="48"/>
        </w:rPr>
        <w:t xml:space="preserve">Optical Chamber Bench Bring-up &amp; Calibration Checklist</w:t>
      </w:r>
    </w:p>
    <w:p>
      <w:pPr>
        <w:spacing w:after="200"/>
      </w:pPr>
      <w:r>
        <w:rPr>
          <w:rFonts w:ascii="Arial" w:cs="Arial" w:eastAsia="Arial" w:hAnsi="Arial"/>
          <w:color w:val="5B6B7A"/>
          <w:sz w:val="24"/>
          <w:szCs w:val="24"/>
        </w:rPr>
        <w:t xml:space="preserve">Getting the dual-wavelength ADPD4101 scatter chamber returning real, calibrated smoke data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B2733"/>
          <w:sz w:val="20"/>
          <w:szCs w:val="20"/>
        </w:rPr>
        <w:t xml:space="preserve">Arctic Engineering · Cape Town</w:t>
      </w:r>
    </w:p>
    <w:p>
      <w:pPr>
        <w:spacing w:after="40"/>
      </w:pPr>
      <w:r>
        <w:rPr>
          <w:rFonts w:ascii="Arial" w:cs="Arial" w:eastAsia="Arial" w:hAnsi="Arial"/>
          <w:color w:val="5B6B7A"/>
          <w:sz w:val="18"/>
          <w:szCs w:val="18"/>
        </w:rPr>
        <w:t xml:space="preserve">Document owner: ___________________     Version: _______     Date: ____ / ____ /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A5B00"/>
          <w:sz w:val="18"/>
          <w:szCs w:val="18"/>
        </w:rPr>
        <w:t xml:space="preserve">This is the core novel element and the hardest electromechanical step — record measurements and photographs at every numbered step as design evidence.</w:t>
      </w:r>
    </w:p>
    <w:p>
      <w:r>
        <w:br w:type="page"/>
      </w:r>
    </w:p>
    <w:p>
      <w:pPr>
        <w:spacing w:after="80" w:before="80"/>
        <w:jc w:val="center"/>
      </w:pPr>
      <w:r>
        <w:drawing>
          <wp:inline distT="0" distB="0" distL="0" distR="0">
            <wp:extent cx="2857500" cy="2638425"/>
            <wp:effectExtent t="0" r="0" b="0" l="0"/>
            <wp:docPr id="1" name="fig_chamber.png" descr="fig_chamber.png" title="fig_cha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B7A"/>
          <w:sz w:val="16"/>
          <w:szCs w:val="16"/>
        </w:rPr>
        <w:t xml:space="preserve">Top-down cross-section: IR 0°, blue 340°, forward PD 25°, back PD 135° in the 3D-printed chamber.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Prerequisites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Populated chamber: </w:t>
      </w:r>
      <w:r>
        <w:rPr>
          <w:rFonts w:ascii="Arial" w:cs="Arial" w:eastAsia="Arial" w:hAnsi="Arial"/>
        </w:rPr>
        <w:t xml:space="preserve">2 LEDs (IR 850 nm, blue 470 nm) and 2 photodiodes (BPW34) seated at their bore angles; PDs shielded from direct LED line-of-sight.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Breakout: </w:t>
      </w:r>
      <w:r>
        <w:rPr>
          <w:rFonts w:ascii="Arial" w:cs="Arial" w:eastAsia="Arial" w:hAnsi="Arial"/>
        </w:rPr>
        <w:t xml:space="preserve">EVAL-ADPD4101-ARDZ assembled; LEDs on LEDX1/LEDX2, PDs on IN1/IN2.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Power: </w:t>
      </w:r>
      <w:r>
        <w:rPr>
          <w:rFonts w:ascii="Arial" w:cs="Arial" w:eastAsia="Arial" w:hAnsi="Arial"/>
        </w:rPr>
        <w:t xml:space="preserve">ADPD VDD on 3V3; VLED on a separate clean rail; common 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Tooling: </w:t>
      </w:r>
      <w:r>
        <w:rPr>
          <w:rFonts w:ascii="Arial" w:cs="Arial" w:eastAsia="Arial" w:hAnsi="Arial"/>
        </w:rPr>
        <w:t xml:space="preserve">EVAL board + ADI Wavetool/evaluation software on a PC; USB; clean-air environment and the two smoke sources.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Calibration &amp; bring-up steps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3760"/>
        <w:gridCol w:w="3050"/>
        <w:gridCol w:w="1746"/>
      </w:tblGrid>
      <w:tr>
        <w:trPr>
          <w:tblHeader/>
        </w:trP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/ method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· date · initials</w:t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on; read the chip ID over I²C at 0x24. Record the value.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responds; ID recorded (confirm against datasheet for your silicon revision).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test — all LEDs off, read all four channels.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/ near-zero counts — confirms on-chip ambient rejection is working.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Wavetool, configure two time-slots: Slot A = IR (LEDX1), Slot B = Blue (LEDX2); each slot samples IN1 (forward) and IN2 (back). Set pulse count and integration window.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channels (fwd-IR, back-IR, fwd-blue, back-blue) report data.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Tune LED currents in clean air, one wavelength at a time.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channel sits well above noise but is not saturated; record the LED current per wavelength.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a clean-air baseline (≈64-sample average). Record fwd_ir, fwd_blue, back_ir, back_blue.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baseline; values recorded as the clean-air zero.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Smouldering test — introduce large-particle smoke.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scatter rises; forward/back ratio high; blue/IR ratio near 1 (large particles). Record.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Flaming test — introduce fine-particle smoke.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Blue/IR ratio rises (small particles); forward/back lower. Record — this validates particle-size discrimination, the key R&amp;D outcome.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the register set from Wavetool; paste into ADPD_INIT[] in adpd4101.h, ending with the go-active write.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array populated from the empirically tuned configuration.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the five 'VERIFY' register addresses (FIFO status, chip ID, op-mode, FIFO data, expected ID) against the datasheet; confirm 16-bit register addressing.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map confirmed for your part.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FIFO unpack in readResultSet(): FRAME_BYTES and channel order (A-IN1, A-IN2, B-IN1, B-IN2) match the slot configuration.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Unpacked channels map to the correct physical PD/wavelength.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11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firmware; watch the serial log on boot.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'[ADPD4101] Baseline:' prints non-zero, stable counts in clean air.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12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the chamber from the admin UI (use_adpd = true) — no reflash.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confstate echoes the change; chamber.smoke_pct begins populating telemetry.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13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Calibrate smoke_fullscale (adpd_fullscale) against a known obscuration / reference detector.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 smoke % tracks the reference (lower fullscale = more sensitive).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14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Tune ratio cut-offs (irblue_small/large, fwdback_small/large) so the fire-type hint matches the smouldering vs flaming sources from earlier steps.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Hint correctly reports smouldering / flaming / mixed.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2A43"/>
                <w:sz w:val="18"/>
                <w:szCs w:val="18"/>
              </w:rPr>
              <w:t xml:space="preserve">15</w:t>
            </w:r>
          </w:p>
        </w:tc>
        <w:tc>
          <w:tcPr>
            <w:tcW w:type="dxa" w:w="376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Repeatability — repeat the clean-air → smoke cycle three times.</w:t>
            </w:r>
          </w:p>
        </w:tc>
        <w:tc>
          <w:tcPr>
            <w:tcW w:type="dxa" w:w="305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re-zeros each time; smoke % repeatable within tolerance.</w:t>
            </w:r>
          </w:p>
        </w:tc>
        <w:tc>
          <w:tcPr>
            <w:tcW w:type="dxa" w:w="174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2A43"/>
          <w:sz w:val="30"/>
          <w:szCs w:val="30"/>
        </w:rPr>
        <w:t xml:space="preserve">Troubleshooting</w:t>
      </w:r>
    </w:p>
    <w:p>
      <w:pPr>
        <w:pBdr>
          <w:bottom w:val="single" w:color="0F2A43" w:sz="6" w:space="1"/>
        </w:pBd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 &amp; action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 ID mismatch / no I²C response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0x24 address, wiring, and that the breakout is powered. Some revisions report a different ID — confirm against the datasheet before assuming a fault.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channel reads zero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Photodiode polarity reversed, or that PD/LED not seated. Re-check anode/cathode and the bore.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saturates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current too high or ambient leak into the chamber; reduce current, improve light-sealing.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Noisy / drifting reads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VLED likely sharing the ESP32 supply — move it to a separate clean rail. Check grounding.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FIFO data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Time-slot/FIFO configuration or FIFO status mask wrong; re-check the Wavetool export and FRAME_BYTES.</w:t>
            </w:r>
          </w:p>
        </w:tc>
      </w:tr>
      <w:tr>
        <w:tc>
          <w:tcPr>
            <w:tcW w:type="dxa" w:w="2600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% won't track reference</w:t>
            </w:r>
          </w:p>
        </w:tc>
        <w:tc>
          <w:tcPr>
            <w:tcW w:type="dxa" w:w="6426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clean-air baseline; adjust adpd_fullscale; confirm the reference detector and chamber see the same smoke.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2A43"/>
          <w:sz w:val="24"/>
          <w:szCs w:val="24"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rPr>
          <w:tblHeader/>
        </w:trP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signature</w:t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0F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/ tested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4F6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008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9"/>
            <w:tcBorders>
              <w:top w:val="single" w:color="D7DEE4" w:sz="1"/>
              <w:left w:val="single" w:color="D7DEE4" w:sz="1"/>
              <w:bottom w:val="single" w:color="D7DEE4" w:sz="1"/>
              <w:right w:val="single" w:color="D7DE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4" w:sz="4" w:space="4"/>
      </w:pBdr>
    </w:pPr>
    <w:r>
      <w:rPr>
        <w:rFonts w:ascii="Arial" w:cs="Arial" w:eastAsia="Arial" w:hAnsi="Arial"/>
        <w:color w:val="5B6B7A"/>
        <w:sz w:val="14"/>
        <w:szCs w:val="14"/>
      </w:rPr>
      <w:t xml:space="preserve">DataGuard DG-100 — Optical Chamber Bench Checklist · Arctic Engineering · Confidential   ·   </w:t>
    </w:r>
    <w:r>
      <w:rPr>
        <w:rFonts w:ascii="Arial" w:cs="Arial" w:eastAsia="Arial" w:hAnsi="Arial"/>
        <w:color w:val="5B6B7A"/>
        <w:sz w:val="14"/>
        <w:szCs w:val="14"/>
      </w:rPr>
      <w:t xml:space="preserve">Page </w:t>
    </w:r>
    <w:r>
      <w:rPr>
        <w:rFonts w:ascii="Arial" w:cs="Arial" w:eastAsia="Arial" w:hAnsi="Arial"/>
        <w:color w:val="5B6B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2A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231c12ed06adffb374bd1f17d03294df803b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2026-06-22T10:21:23.588Z</dcterms:created>
  <dcterms:modified xsi:type="dcterms:W3CDTF">2026-06-22T10:21:23.588Z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