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Altostratus™ Secure Architecture for Real Payment Listeners</w:t>
      </w:r>
    </w:p>
    <w:p>
      <w:pPr>
        <w:jc w:val="center"/>
      </w:pPr>
      <w:r>
        <w:rPr>
          <w:i/>
          <w:sz w:val="24"/>
        </w:rPr>
        <w:t>Lightning, Bitcoin, and Monero Integration — Step-by-Step Secure Design</w:t>
      </w:r>
    </w:p>
    <w:p/>
    <w:p>
      <w:pPr>
        <w:pStyle w:val="Heading2"/>
      </w:pPr>
      <w:r>
        <w:t>Step 0 — Target Architecture Overview</w:t>
      </w:r>
    </w:p>
    <w:p>
      <w:pPr>
        <w:spacing w:after="120"/>
      </w:pPr>
      <w:r>
        <w:t>Altostratus consists of a main SaaS app and a separate payments microservice. Real payment listeners are isolated into their own services:</w:t>
        <w:br/>
        <w:t>• Lightning Node (LND/Core Lightning)</w:t>
        <w:br/>
        <w:t>• Bitcoin On-Chain Listener (xpub-based)</w:t>
        <w:br/>
        <w:t>• Monero Listener (subaddress-based)</w:t>
        <w:br/>
        <w:br/>
        <w:t>Each communicates with the Payments service only via signed callbacks (HMAC or bearer token). No secrets or keys are shared with the main Altostratus app.</w:t>
      </w:r>
    </w:p>
    <w:p>
      <w:pPr>
        <w:pStyle w:val="Heading2"/>
      </w:pPr>
      <w:r>
        <w:t>Step 1 — Common Hardening for All Rails</w:t>
      </w:r>
    </w:p>
    <w:p>
      <w:pPr>
        <w:spacing w:after="120"/>
      </w:pPr>
      <w:r>
        <w:t>1. Use separate Replit projects or VPS containers for each listener.</w:t>
        <w:br/>
        <w:t>2. Store all secrets (API keys, RPC creds, xpubs) in Replit Secrets, not code.</w:t>
        <w:br/>
        <w:t>3. Use HTTPS or Tor endpoints; restrict access via HMAC header or token.</w:t>
        <w:br/>
        <w:t>4. Store only minimal invoice data; no PII or IP addresses.</w:t>
        <w:br/>
        <w:t>5. Log only invoiceId, status, and short error codes.</w:t>
      </w:r>
    </w:p>
    <w:p>
      <w:pPr>
        <w:pStyle w:val="Heading2"/>
      </w:pPr>
      <w:r>
        <w:t>Step 2 — Lightning Network Listener</w:t>
      </w:r>
    </w:p>
    <w:p>
      <w:pPr>
        <w:spacing w:after="120"/>
      </w:pPr>
      <w:r>
        <w:t>• Choose LND or Core Lightning; run off-Replit for stability.</w:t>
        <w:br/>
        <w:t>• Expose a minimal REST proxy, not raw gRPC.</w:t>
        <w:br/>
        <w:t>• Rail Service (rail-ln): Handles invoice creation and settlement events.</w:t>
        <w:br/>
        <w:t>• Environment Variables: LN_REST_URL, LN_MACAROON_HEX, ALT_PAYMENTS_BASE, RAIL_AUTH_TOKEN.</w:t>
        <w:br/>
        <w:t>• Flow: Altostratus-Payments requests a BOLT11 → rail-ln monitors settlement → sends callback to Payments → triggers webhook to Altostratus.</w:t>
        <w:br/>
        <w:t>• Privacy: No payer info logged; run node behind Tor if possible.</w:t>
      </w:r>
    </w:p>
    <w:p>
      <w:pPr>
        <w:pStyle w:val="Heading2"/>
      </w:pPr>
      <w:r>
        <w:t>Step 3 — Bitcoin On-Chain Listener</w:t>
      </w:r>
    </w:p>
    <w:p>
      <w:pPr>
        <w:spacing w:after="120"/>
      </w:pPr>
      <w:r>
        <w:t>• Use xpub to derive a new address per invoice; never reuse addresses.</w:t>
        <w:br/>
        <w:t>• Environment Variables: BTC_XPUB, CONFIRMATIONS_REQUIRED, ELECTRUM_ENDPOINT, ALT_PAYMENTS_BASE, RAIL_AUTH_TOKEN.</w:t>
        <w:br/>
        <w:t>• Rail Service (rail-btc): Creates addresses and watches for confirmations.</w:t>
        <w:br/>
        <w:t>• Flow: Payments calls rail-btc to get address → rail-btc detects confirmed tx → sends callback → Payments marks paid.</w:t>
        <w:br/>
        <w:t>• Privacy: No sender addresses stored; render explorer links client-side only.</w:t>
      </w:r>
    </w:p>
    <w:p>
      <w:pPr>
        <w:pStyle w:val="Heading2"/>
      </w:pPr>
      <w:r>
        <w:t>Step 4 — Monero Listener</w:t>
      </w:r>
    </w:p>
    <w:p>
      <w:pPr>
        <w:spacing w:after="120"/>
      </w:pPr>
      <w:r>
        <w:t>• Create per-invoice subaddresses using Monero Wallet RPC.</w:t>
        <w:br/>
        <w:t>• Environment Variables: XMR_WALLET_RPC_URL, XMR_WALLET_RPC_USER, XMR_WALLET_RPC_PASS, XMR_CONFIRMATIONS_REQUIRED.</w:t>
        <w:br/>
        <w:t>• Rail Service (rail-xmr): Issues subaddresses, monitors confirmations, calls Payments callback.</w:t>
        <w:br/>
        <w:t>• Privacy: Strong by default; never store view keys or seeds in Replit.</w:t>
      </w:r>
    </w:p>
    <w:p>
      <w:pPr>
        <w:pStyle w:val="Heading2"/>
      </w:pPr>
      <w:r>
        <w:t>Step 5 — Altostratus-Payments Modifications</w:t>
      </w:r>
    </w:p>
    <w:p>
      <w:pPr>
        <w:spacing w:after="120"/>
      </w:pPr>
      <w:r>
        <w:t>• Add internal endpoints secured with RAIL_AUTH_TOKEN:</w:t>
        <w:br/>
        <w:t xml:space="preserve">  - /rails/ln/settled</w:t>
        <w:br/>
        <w:t xml:space="preserve">  - /rails/btc/confirmed</w:t>
        <w:br/>
        <w:t xml:space="preserve">  - /rails/xmr/confirmed</w:t>
        <w:br/>
        <w:t>• Invoice creation logic now requests targets from each rail service.</w:t>
        <w:br/>
        <w:t>• Outbound webhook to Altostratus remains HMAC-signed.</w:t>
        <w:br/>
        <w:t>• Expiration logic unchanged; configurable via environment variables.</w:t>
      </w:r>
    </w:p>
    <w:p>
      <w:pPr>
        <w:pStyle w:val="Heading2"/>
      </w:pPr>
      <w:r>
        <w:t>Step 6 — Secrets and Configurations</w:t>
      </w:r>
    </w:p>
    <w:p>
      <w:pPr>
        <w:spacing w:after="120"/>
      </w:pPr>
      <w:r>
        <w:t>List of environment variables for each service:</w:t>
        <w:br/>
        <w:br/>
        <w:t>Payments Service:</w:t>
        <w:br/>
        <w:t>ALLOWED_ORIGIN, PUBLIC_BASE_URL, ALT_WEBHOOK_URL, ALT_WEBHOOK_SECRET, RAIL_AUTH_TOKEN, LN_SERVICE_URL, BTC_SERVICE_URL, XMR_SERVICE_URL, LN_TIMEOUT_MIN, BTC_TIMEOUT_MIN, XMR_TIMEOUT_MIN</w:t>
        <w:br/>
        <w:br/>
        <w:t>Lightning Rail:</w:t>
        <w:br/>
        <w:t>LN_REST_URL, LN_MACAROON_HEX, ALT_PAYMENTS_BASE, RAIL_AUTH_TOKEN</w:t>
        <w:br/>
        <w:br/>
        <w:t>Bitcoin Rail:</w:t>
        <w:br/>
        <w:t>BTC_XPUB, CONFIRMATIONS_REQUIRED, ELECTRUM_ENDPOINT, ALT_PAYMENTS_BASE, RAIL_AUTH_TOKEN</w:t>
        <w:br/>
        <w:br/>
        <w:t>Monero Rail:</w:t>
        <w:br/>
        <w:t>XMR_WALLET_RPC_URL, XMR_WALLET_RPC_USER, XMR_WALLET_RPC_PASS, XMR_CONFIRMATIONS_REQUIRED, ALT_PAYMENTS_BASE, RAIL_AUTH_TOKEN</w:t>
      </w:r>
    </w:p>
    <w:p>
      <w:pPr>
        <w:pStyle w:val="Heading2"/>
      </w:pPr>
      <w:r>
        <w:t>Step 7 — Test Plan</w:t>
      </w:r>
    </w:p>
    <w:p>
      <w:pPr>
        <w:spacing w:after="120"/>
      </w:pPr>
      <w:r>
        <w:t>A. Dry run: Verify invoice creation and expiry.</w:t>
        <w:br/>
        <w:t>B. Simulated payments: Use /simulate-paid to test webhook chain.</w:t>
        <w:br/>
        <w:t>C. Lightning testnet: Generate BOLT11, pay it, confirm settlement triggers callback.</w:t>
        <w:br/>
        <w:t>D. Bitcoin testnet: Send BTC, confirm threshold reached, status flips to paid.</w:t>
        <w:br/>
        <w:t>E. Monero testnet: Send XMR, confirm via wallet RPC.</w:t>
        <w:br/>
        <w:t>F. Reliability: Test webhook retry logic.</w:t>
        <w:br/>
        <w:t>G. Privacy: Ensure no IPs or addresses appear in logs.</w:t>
      </w:r>
    </w:p>
    <w:p>
      <w:pPr>
        <w:pStyle w:val="Heading2"/>
      </w:pPr>
      <w:r>
        <w:t>Step 8 — What Not to Do</w:t>
      </w:r>
    </w:p>
    <w:p>
      <w:pPr>
        <w:spacing w:after="120"/>
      </w:pPr>
      <w:r>
        <w:t>• No custodial gateways (e.g., NOWPayments, Coinbase).</w:t>
        <w:br/>
        <w:t>• No address reuse.</w:t>
        <w:br/>
        <w:t>• No node responses or tx logs.</w:t>
        <w:br/>
        <w:t>• No explorer API calls from the server; only client-side links.</w:t>
      </w:r>
    </w:p>
    <w:p>
      <w:pPr>
        <w:pStyle w:val="Heading2"/>
      </w:pPr>
      <w:r>
        <w:t>Legal Notice</w:t>
      </w:r>
    </w:p>
    <w:p>
      <w:pPr>
        <w:spacing w:after="120"/>
      </w:pPr>
      <w:r>
        <w:t>© 2025 Arctic Bison LLC. Altostratus™ is a trademark of Arctic Bison LLC.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