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海冰与资源约束下海洋观测节点部署项目总结报告</w:t>
      </w:r>
    </w:p>
    <w:p>
      <w:r>
        <w:t>拟议论文题目：Sparse placement of polar ocean observation nodes under sea-ice and resource constraints</w:t>
      </w:r>
    </w:p>
    <w:p>
      <w:r>
        <w:t>整理日期：2026年10月14日</w:t>
      </w:r>
    </w:p>
    <w:p>
      <w:r>
        <w:t>本报告汇总当前代码、已保存实验、历史报告及论文补全要求。项目已经实现真实极地温度数据对齐、稀疏节点部署、多种重构器比较、约束情景审计以及 RBMF 和 CLBR 的有限机制研究。现有证据支持以50 m温度为主案例、以POD-Ridge为主重构器推进约束部署论文；尚不支持宣称MC-EIR、RBMF或CLBR具有普遍精度优势。软惩罚、集合平均约束与逐节点硬限制的同条件比较，部署策略与重构器的完整交叉评价，以及任务期固定布局的跨时间评价，是论文必须补齐的证据。</w:t>
      </w:r>
    </w:p>
    <w:p>
      <w:r>
        <w:t>本文数值均摘录既有报告与保存结果，未重新拟合模型、调参或开放封存测试。历史报告中“测试”或“HF/LF”等称呼保留于原档，本总结统一按开发暴露历史及产品物理意义解释。所有插图均为项目已生成的原图，新增平台图采用概念数据路径，不冒充实测平台架构。历史全文、全部可找到的图片和轻量证据集中于本目录，文件来源与哈希见 archive_manifest.json。</w:t>
      </w:r>
    </w:p>
    <w:p>
      <w:pPr>
        <w:pStyle w:val="Heading1"/>
      </w:pPr>
      <w:r>
        <w:t>1 研究定位与项目进展</w:t>
      </w:r>
    </w:p>
    <w:p>
      <w:pPr>
        <w:pStyle w:val="Heading2"/>
      </w:pPr>
      <w:r>
        <w:t>1.1 观测任务与优化对象</w:t>
      </w:r>
    </w:p>
    <w:p>
      <w:r>
        <w:t>研究对象是搭载水下传感器链的海洋观测平台在候选海域中的水平站位选择。一个节点表示一个水平观测站位；50 m处传感器是该站位的观测载荷，不能把链上传感器数解释成平台数。平台任务可包含海面气象及水下温盐压力，但当前性能证据主要来自50 m月均原位温度重构。盐度目前用于ORAS5温度物理转换及数据可用性审计，没有完成同站位盐度重构。</w:t>
      </w:r>
    </w:p>
    <w:p>
      <w:r>
        <w:t>论文拟回答三个问题：不同海冰约束表达是否导致不同可行部署；部署效果是否依赖重构器；有限节点与资源预算下，提高可行性需要付出多少误差代价。论文主线应围绕站位选择的工程后果展开，贝叶斯推导与完整逐月诊断转入补充材料。</w:t>
      </w:r>
    </w:p>
    <w:p>
      <w:pPr>
        <w:pStyle w:val="Heading2"/>
      </w:pPr>
      <w:r>
        <w:t>1.2 已完成的工作与继承关系</w:t>
      </w:r>
    </w:p>
    <w:p>
      <w:r>
        <w:t>代码已覆盖POD基底、变分重构、资源约束、候选评分、闭环增点、真实场对齐和比较统计。历史阶段包括合成验证、极地首轮部署、2013选参后的2014探索性比较、P0机制诊断、联合高斯结构诊断和CLBR季度嵌套实验。博士论文已有极地应用、冰情惩罚、节点优化与温盐重构，应在论文中明确继承，不能把复现和工程适配重新表述为新增贡献。</w:t>
      </w:r>
    </w:p>
    <w:p>
      <w:r>
        <w:t>原熵权QR是依据论文信息权重乘QR残差范数的工程约束适配，现有报告没有声称逐式严格复现。补全文献综述时须围绕POD/QR、熵权、重构导向选点与约束部署组织一手文献，逐项核对其信息条件、约束和验证范围。本总结不以未经检索核对的新文献填充创新性论证。</w:t>
      </w:r>
    </w:p>
    <w:p>
      <w:pPr>
        <w:pStyle w:val="Heading2"/>
      </w:pPr>
      <w:r>
        <w:t>1.3 当前研究判断</w:t>
      </w:r>
    </w:p>
    <w:p>
      <w:r>
        <w:t>2014探索性比较中，RBMF优于仅ORAS5，但不优于全部POD基线；各部署策略在RBMF下误差差异极小。2013有限诊断表明原RBMF对在线观测响应很弱，联合α与ρ的候选仅带来微小变化。CLBR恢复了明显在线响应，却仍略差于POD-Ridge，其区间研究也未通过完整预设规则。因此保留这些模型作为研究参照，主工作基线冻结为POD-Ridge，并保留POD-LASSO与Gaussian-SBL。</w:t>
      </w:r>
    </w:p>
    <w:p>
      <w:pPr>
        <w:pStyle w:val="Heading2"/>
      </w:pPr>
      <w:r>
        <w:t>1.4 贡献的待验证表述</w:t>
      </w:r>
    </w:p>
    <w:p>
      <w:r>
        <w:t>拟议贡献为建立物理含义明确的约束部署问题、识别海冰约束表达与部署策略的工程后果、通过跨重构器实验量化部署结论的稳定性。这三项是后续验证目标，目前不能作为已经完成的论文结论。“entropy-weighted”仅在新增机制获得稳定独立收益后考虑进入题目；“robust Bayesian multi-fidelity”不宜继续作为中心定位。</w:t>
      </w:r>
    </w:p>
    <w:p>
      <w:pPr>
        <w:pStyle w:val="Heading1"/>
      </w:pPr>
      <w:r>
        <w:t>2 观测平台与约束部署问题</w:t>
      </w:r>
    </w:p>
    <w:p>
      <w:pPr>
        <w:pStyle w:val="Heading2"/>
      </w:pPr>
      <w:r>
        <w:t>2.1 平台数据路径与优化边界</w:t>
      </w:r>
    </w:p>
    <w:p>
      <w:r>
        <w:t>概念数据路径为“固定垂向水下传感器链 → 浮标网关 → 岸端接收与场重构”。水下链观测50 m温度等载荷变量，浮标负责采集转发，岸端进行质控、重构及规划。正式平台示意图必须核实实际接口、供电、链路与网关角色后绘制；现有单网关通信情景不等同上述硬件架构已经验证。本文仅优化水平站位，垂向配置固定。</w:t>
      </w:r>
    </w:p>
    <w:p>
      <w:pPr>
        <w:pStyle w:val="Heading2"/>
      </w:pPr>
      <w:r>
        <w:t>2.2 候选域及数值可行性</w:t>
      </w:r>
    </w:p>
    <w:p>
      <w:r>
        <w:t>主要部署案例位于北大西洋侧70–80°N、20°W–20°E，固定共同有效格点346个；中央北冰洋数据对齐域为80°N以北3305格点，不能把数据准备域误写成已完成全部部署验证的区域。共同域由训练参考场有效性、温度恢复偏移有效性与静态海洋掩膜定义，不根据评价年份温度改变区域。尚无完整岸线、海深和系泊适用性筛选证据，数值格点可选不等于实地可布放。</w:t>
      </w:r>
    </w:p>
    <w:p>
      <w:pPr>
        <w:pStyle w:val="Heading2"/>
      </w:pPr>
      <w:r>
        <w:t>2.3 海冰约束语义</w:t>
      </w:r>
    </w:p>
    <w:p>
      <w:r>
        <w:t>布放期可达性表示船舶或平台能否到达站位；服役期暴露表示任务期内的冰情风险。逐节点硬上限要求每个已选站位满足阈值，集合平均限制约束总体平均暴露，软惩罚只改变选点评分。平均达标仍可能存在高风险单点；软惩罚也不提供硬可行性保证。缺测、陆地、海岸与极区空洞均保持未知，不能填为无冰。</w:t>
      </w:r>
    </w:p>
    <w:p>
      <w:r>
        <w:t>现有首轮案例海冰浓度上限0.6属于情景假设，没有设备适冰认证支撑。后续可将其作为敏感性参数，但不能声称对应真实设备的安全阈值。还需确定服役期暴露采用最大值、超阈月份比例还是其他任务统计量，保持定义与可获得环境资料一致。</w:t>
      </w:r>
    </w:p>
    <w:p>
      <w:pPr>
        <w:pStyle w:val="Heading2"/>
      </w:pPr>
      <w:r>
        <w:t>2.4 节点和资源预算</w:t>
      </w:r>
    </w:p>
    <w:p>
      <w:r>
        <w:t>已有案例从4个初始节点增至12个站位。首轮声明网关75°N、0°E，通信半径250 km，任务1小时，网络能量预算1000000 J；功率、发包与成本参数均为工程情景。正式论文优先以节点预算和冰情约束建立主问题；通信、能耗与维护成本作为参数明确的扩展，不把模拟可行率推广为真实长期海洋平台保证。</w:t>
      </w:r>
    </w:p>
    <w:p>
      <w:pPr>
        <w:pStyle w:val="Heading2"/>
      </w:pPr>
      <w:r>
        <w:t>2.5 优化与评价定义</w:t>
      </w:r>
    </w:p>
    <w:p>
      <w:r>
        <w:t>设候选集合为V，布局S⊆V，节点数|S|≤K。逐点约束可写为h_i≤τ，平均约束为Σh_i/|S|≤τ̄，资源约束为E(S)≤B_E、C(S)≤B_C；其阈值和冰情统计量需预先冻结。软惩罚可在基础选点评分中扣除βh_i，不能替代上述可行集合。部署只能利用训练信息、环境信息及已获取观测，未观测参考场用于事后评价。</w:t>
      </w:r>
    </w:p>
    <w:p>
      <w:r>
        <w:t>统一未观测评分域G，面积加权RMSE为sqrt[Σ_{i∈G}w_i(x̂_i−x_i)² / Σ_{i∈G}w_i]，w_i=cos(latitude_i)。主要指标同时报告逐点违规率、整套布局可行率、预算达到率和实际节点数；预算不足、无候选、QR有效增益耗尽及求解失败均保留。不同方法不得通过改变评分域获得表面优势。</w:t>
      </w:r>
    </w:p>
    <w:p>
      <w:pPr>
        <w:pStyle w:val="Heading1"/>
      </w:pPr>
      <w:r>
        <w:t>3 部署方法与重构器</w:t>
      </w:r>
    </w:p>
    <w:p>
      <w:pPr>
        <w:pStyle w:val="Heading2"/>
      </w:pPr>
      <w:r>
        <w:t>3.1 基线和约束处理</w:t>
      </w:r>
    </w:p>
    <w:p>
      <w:r>
        <w:t>已有部署比较包含Random、Maximin、POD-QR、熵权QR、条件熵、后验方差、方差下降、MC-EIR及评分消融。后续主比较至少保留Random、Maximin、POD-QR、原海冰软惩罚熵权QR和拟议约束方法。逐点筛选、集合预算检查、候选评分应依次执行并记录拒绝原因；小规模候选用枚举或可靠参考解检查贪心选择，未证明时不宣称全局最优。</w:t>
      </w:r>
    </w:p>
    <w:p>
      <w:pPr>
        <w:pStyle w:val="Heading2"/>
      </w:pPr>
      <w:r>
        <w:t>3.2 MC-EIR评分的现有边界</w:t>
      </w:r>
    </w:p>
    <w:p>
      <w:r>
        <w:t>MC-EIR组合信息、方差变化、冗余及成本相关评分，方差下降使用冻结超参数的高斯近似，未对未来完整VB重拟合精确积分。2013选择的beta=0.25、eta=0，意味着本轮完整方法本就不含非零冗余惩罚，去冗余消融相同不能证明冗余机制有效。后续先检验简单信息或重构风险准则；融合项必须说明量纲、归一化及重复信息，增加评分项本身不足以构成独立创新。</w:t>
      </w:r>
    </w:p>
    <w:p>
      <w:pPr>
        <w:pStyle w:val="Heading2"/>
      </w:pPr>
      <w:r>
        <w:t>3.3 主重构器及模型参照</w:t>
      </w:r>
    </w:p>
    <w:p>
      <w:r>
        <w:t>POD-Ridge采用训练POD前16阶、λ=0.01；POD-LASSO采用16阶、λ=0.1；Gaussian-SBL采用前4阶、aγ=bγ=0.001。参数来源为2013开发选择及冻结配置。RBMF固定参照采用32阶及已选先验，不继续扩展搜索。跨重构器比较必须共享站位、观测与评分域，参数仅从训练及开发数据选择。</w:t>
      </w:r>
    </w:p>
    <w:p>
      <w:pPr>
        <w:pStyle w:val="Heading2"/>
      </w:pPr>
      <w:r>
        <w:t>3.4 RBMF与CLBR有限研究结论</w:t>
      </w:r>
    </w:p>
    <w:p>
      <w:r>
        <w:t>P0没有发现单位、标准化或POD归一化错误；完整因子停止与联合α–ρ推断未解决真实场收缩。条件解析诊断说明原辅助兼容目标本身可偏好小ρ；这个结果只针对该目标，不能推广为所有多保真模型的缺陷。CLBR使用正规仿射LF均值与贝叶斯残差生成模型，避免全域残差为零的辅助似然，作为独立模型研究而非原实现修复。它增强在线响应，但未达到相对Ridge的预设精度门槛。</w:t>
      </w:r>
    </w:p>
    <w:p>
      <w:pPr>
        <w:pStyle w:val="Heading2"/>
      </w:pPr>
      <w:r>
        <w:t>3.5 固定布局与顺序增点</w:t>
      </w:r>
    </w:p>
    <w:p>
      <w:r>
        <w:t>现有闭环按观测逐点增加站位，应解释为分阶段布放。各月份分别规划与任务期固定站位的后续月评价不同，不能描述为浮标自动迁移或已验证季节自适应。主文优先固定任务期布局，顺序扩展单列新增布放和运维成本；固定布局跨时间实验尚待补齐。</w:t>
      </w:r>
    </w:p>
    <w:p>
      <w:pPr>
        <w:pStyle w:val="Heading1"/>
      </w:pPr>
      <w:r>
        <w:t>4 数据与实验设计</w:t>
      </w:r>
    </w:p>
    <w:p>
      <w:pPr>
        <w:pStyle w:val="Heading2"/>
      </w:pPr>
      <w:r>
        <w:t>4.1 数据来源和物理处理</w:t>
      </w:r>
    </w:p>
    <w:p>
      <w:r>
        <w:t>IAP为格点参考场，ORAS5为辅助产品，HF/LF仅是历史模型命名。IAP绝对温度依历史偏移恢复并用2001年交叉核对，未使用不匹配的2024气候态；其异常基准版本仍需资格审计。ORAS5使用ICDC r1x1/opa0、静态tmask，结合实用盐度、压力和经纬度做TEOS-10位温至原位温度转换，再插值至50 m和IAP格点。47.211895 m和53.850636 m夹住目标深度。月均转换存在非线性平均近似。</w:t>
      </w:r>
    </w:p>
    <w:p>
      <w:r>
        <w:t>海冰采用G02202 V6 F17北极月产品，0–1浓度，2013配套为25 km网格、最近邻映射并保留QA与未知值。IAP与ORAS5的相对精度及内部同化依赖未经独立点观测验证，不能声称普遍高低保真关系。Argo/ITP已完成空间与深度对齐，但尚未形成本论文的独立性能验证。</w:t>
      </w:r>
    </w:p>
    <w:p>
      <w:pPr>
        <w:pStyle w:val="Heading2"/>
      </w:pPr>
      <w:r>
        <w:t>4.2 时间划分和评价资格</w:t>
      </w:r>
    </w:p>
    <w:p>
      <w:r>
        <w:t>2000–2012共156个月用于气候态、尺度、POD和协方差训练；2013全年用于选参和路线开发；2014年1、4、7、10月已反复查看，属于探索性评价。2015–2025为11个完整候选年度，2026仅1–4月；候选已做元数据和质量审计但未开展预测性能评价。现有封存状态release_authorized=false，缺少合格配套产品及版本依据，不因本总结获得独立测试资格。</w:t>
      </w:r>
    </w:p>
    <w:p>
      <w:pPr>
        <w:pStyle w:val="Heading2"/>
      </w:pPr>
      <w:r>
        <w:t>4.3 已有实验与信息条件</w:t>
      </w:r>
    </w:p>
    <w:tbl>
      <w:tblPr>
        <w:tblW w:type="auto" w:w="0"/>
        <w:tblLayout w:type="fixed"/>
        <w:tblLook w:firstColumn="1" w:firstRow="1" w:lastColumn="0" w:lastRow="0" w:noHBand="0" w:noVBand="1" w:val="04A0"/>
      </w:tblPr>
      <w:tblGrid>
        <w:gridCol w:w="3175"/>
        <w:gridCol w:w="3175"/>
        <w:gridCol w:w="3175"/>
      </w:tblGrid>
      <w:tr>
        <w:trPr>
          <w:cantSplit/>
          <w:tblHeader/>
        </w:trPr>
        <w:tc>
          <w:tcPr>
            <w:tcW w:type="dxa" w:w="3005"/>
            <w:tcBorders>
              <w:top w:val="single" w:sz="4" w:color="D9D9D9"/>
              <w:left w:val="single" w:sz="4" w:color="D9D9D9"/>
              <w:bottom w:val="single" w:sz="4" w:color="D9D9D9"/>
              <w:right w:val="single" w:sz="4" w:color="D9D9D9"/>
            </w:tcBorders>
            <w:shd w:fill="E8EEF3"/>
          </w:tcPr>
          <w:p>
            <w:pPr>
              <w:spacing w:after="100" w:before="100"/>
            </w:pPr>
            <w:r>
              <w:rPr>
                <w:b/>
                <w:sz w:val="18"/>
              </w:rPr>
              <w:t>阶段</w:t>
            </w:r>
          </w:p>
        </w:tc>
        <w:tc>
          <w:tcPr>
            <w:tcW w:type="dxa" w:w="3288"/>
            <w:tcBorders>
              <w:top w:val="single" w:sz="4" w:color="D9D9D9"/>
              <w:left w:val="single" w:sz="4" w:color="D9D9D9"/>
              <w:bottom w:val="single" w:sz="4" w:color="D9D9D9"/>
              <w:right w:val="single" w:sz="4" w:color="D9D9D9"/>
            </w:tcBorders>
            <w:shd w:fill="E8EEF3"/>
          </w:tcPr>
          <w:p>
            <w:pPr>
              <w:spacing w:after="100" w:before="100"/>
            </w:pPr>
            <w:r>
              <w:rPr>
                <w:b/>
                <w:sz w:val="18"/>
              </w:rPr>
              <w:t>数据与规模</w:t>
            </w:r>
          </w:p>
        </w:tc>
        <w:tc>
          <w:tcPr>
            <w:tcW w:type="dxa" w:w="3231"/>
            <w:tcBorders>
              <w:top w:val="single" w:sz="4" w:color="D9D9D9"/>
              <w:left w:val="single" w:sz="4" w:color="D9D9D9"/>
              <w:bottom w:val="single" w:sz="4" w:color="D9D9D9"/>
              <w:right w:val="single" w:sz="4" w:color="D9D9D9"/>
            </w:tcBorders>
            <w:shd w:fill="E8EEF3"/>
          </w:tcPr>
          <w:p>
            <w:pPr>
              <w:spacing w:after="100" w:before="100"/>
            </w:pPr>
            <w:r>
              <w:rPr>
                <w:b/>
                <w:sz w:val="18"/>
              </w:rPr>
              <w:t>可支持的结论</w:t>
            </w:r>
          </w:p>
        </w:tc>
      </w:tr>
      <w:tr>
        <w:trPr>
          <w:cantSplit/>
        </w:trPr>
        <w:tc>
          <w:tcPr>
            <w:tcW w:type="dxa" w:w="3005"/>
            <w:tcBorders>
              <w:top w:val="single" w:sz="4" w:color="D9D9D9"/>
              <w:left w:val="single" w:sz="4" w:color="D9D9D9"/>
              <w:bottom w:val="single" w:sz="4" w:color="D9D9D9"/>
              <w:right w:val="single" w:sz="4" w:color="D9D9D9"/>
            </w:tcBorders>
            <w:shd w:fill="F5F7F9"/>
          </w:tcPr>
          <w:p>
            <w:pPr>
              <w:spacing w:after="100" w:before="100"/>
            </w:pPr>
            <w:r>
              <w:rPr>
                <w:b w:val="0"/>
                <w:sz w:val="18"/>
              </w:rPr>
              <w:t>极地首轮部署</w:t>
            </w:r>
          </w:p>
        </w:tc>
        <w:tc>
          <w:tcPr>
            <w:tcW w:type="dxa" w:w="3288"/>
            <w:tcBorders>
              <w:top w:val="single" w:sz="4" w:color="D9D9D9"/>
              <w:left w:val="single" w:sz="4" w:color="D9D9D9"/>
              <w:bottom w:val="single" w:sz="4" w:color="D9D9D9"/>
              <w:right w:val="single" w:sz="4" w:color="D9D9D9"/>
            </w:tcBorders>
            <w:shd w:fill="F5F7F9"/>
          </w:tcPr>
          <w:p>
            <w:pPr>
              <w:spacing w:after="100" w:before="100"/>
            </w:pPr>
            <w:r>
              <w:rPr>
                <w:b w:val="0"/>
                <w:sz w:val="18"/>
              </w:rPr>
              <w:t>2014四个月，三策略，4→12节点</w:t>
            </w:r>
          </w:p>
        </w:tc>
        <w:tc>
          <w:tcPr>
            <w:tcW w:type="dxa" w:w="3231"/>
            <w:tcBorders>
              <w:top w:val="single" w:sz="4" w:color="D9D9D9"/>
              <w:left w:val="single" w:sz="4" w:color="D9D9D9"/>
              <w:bottom w:val="single" w:sz="4" w:color="D9D9D9"/>
              <w:right w:val="single" w:sz="4" w:color="D9D9D9"/>
            </w:tcBorders>
            <w:shd w:fill="F5F7F9"/>
          </w:tcPr>
          <w:p>
            <w:pPr>
              <w:spacing w:after="100" w:before="100"/>
            </w:pPr>
            <w:r>
              <w:rPr>
                <w:b w:val="0"/>
                <w:sz w:val="18"/>
              </w:rPr>
              <w:t>初步可行性和误差现象</w:t>
            </w:r>
          </w:p>
        </w:tc>
      </w:tr>
      <w:tr>
        <w:trPr>
          <w:cantSplit/>
        </w:trPr>
        <w:tc>
          <w:tcPr>
            <w:tcW w:type="dxa" w:w="3005"/>
            <w:tcBorders>
              <w:top w:val="single" w:sz="4" w:color="D9D9D9"/>
              <w:left w:val="single" w:sz="4" w:color="D9D9D9"/>
              <w:bottom w:val="single" w:sz="4" w:color="D9D9D9"/>
              <w:right w:val="single" w:sz="4" w:color="D9D9D9"/>
            </w:tcBorders>
            <w:shd w:fill="FFFFFF"/>
          </w:tcPr>
          <w:p>
            <w:pPr>
              <w:spacing w:after="100" w:before="100"/>
            </w:pPr>
            <w:r>
              <w:rPr>
                <w:b w:val="0"/>
                <w:sz w:val="18"/>
              </w:rPr>
              <w:t>参数选择后比较</w:t>
            </w:r>
          </w:p>
        </w:tc>
        <w:tc>
          <w:tcPr>
            <w:tcW w:type="dxa" w:w="3288"/>
            <w:tcBorders>
              <w:top w:val="single" w:sz="4" w:color="D9D9D9"/>
              <w:left w:val="single" w:sz="4" w:color="D9D9D9"/>
              <w:bottom w:val="single" w:sz="4" w:color="D9D9D9"/>
              <w:right w:val="single" w:sz="4" w:color="D9D9D9"/>
            </w:tcBorders>
            <w:shd w:fill="FFFFFF"/>
          </w:tcPr>
          <w:p>
            <w:pPr>
              <w:spacing w:after="100" w:before="100"/>
            </w:pPr>
            <w:r>
              <w:rPr>
                <w:b w:val="0"/>
                <w:sz w:val="18"/>
              </w:rPr>
              <w:t>2013选参；2014四月×30种子×10场景，共1200案例</w:t>
            </w:r>
          </w:p>
        </w:tc>
        <w:tc>
          <w:tcPr>
            <w:tcW w:type="dxa" w:w="3231"/>
            <w:tcBorders>
              <w:top w:val="single" w:sz="4" w:color="D9D9D9"/>
              <w:left w:val="single" w:sz="4" w:color="D9D9D9"/>
              <w:bottom w:val="single" w:sz="4" w:color="D9D9D9"/>
              <w:right w:val="single" w:sz="4" w:color="D9D9D9"/>
            </w:tcBorders>
            <w:shd w:fill="FFFFFF"/>
          </w:tcPr>
          <w:p>
            <w:pPr>
              <w:spacing w:after="100" w:before="100"/>
            </w:pPr>
            <w:r>
              <w:rPr>
                <w:b w:val="0"/>
                <w:sz w:val="18"/>
              </w:rPr>
              <w:t>固定开发条件下重构及部署比较</w:t>
            </w:r>
          </w:p>
        </w:tc>
      </w:tr>
      <w:tr>
        <w:trPr>
          <w:cantSplit/>
        </w:trPr>
        <w:tc>
          <w:tcPr>
            <w:tcW w:type="dxa" w:w="3005"/>
            <w:tcBorders>
              <w:top w:val="single" w:sz="4" w:color="D9D9D9"/>
              <w:left w:val="single" w:sz="4" w:color="D9D9D9"/>
              <w:bottom w:val="single" w:sz="4" w:color="D9D9D9"/>
              <w:right w:val="single" w:sz="4" w:color="D9D9D9"/>
            </w:tcBorders>
            <w:shd w:fill="F5F7F9"/>
          </w:tcPr>
          <w:p>
            <w:pPr>
              <w:spacing w:after="100" w:before="100"/>
            </w:pPr>
            <w:r>
              <w:rPr>
                <w:b w:val="0"/>
                <w:sz w:val="18"/>
              </w:rPr>
              <w:t>P0与结构诊断</w:t>
            </w:r>
          </w:p>
        </w:tc>
        <w:tc>
          <w:tcPr>
            <w:tcW w:type="dxa" w:w="3288"/>
            <w:tcBorders>
              <w:top w:val="single" w:sz="4" w:color="D9D9D9"/>
              <w:left w:val="single" w:sz="4" w:color="D9D9D9"/>
              <w:bottom w:val="single" w:sz="4" w:color="D9D9D9"/>
              <w:right w:val="single" w:sz="4" w:color="D9D9D9"/>
            </w:tcBorders>
            <w:shd w:fill="F5F7F9"/>
          </w:tcPr>
          <w:p>
            <w:pPr>
              <w:spacing w:after="100" w:before="100"/>
            </w:pPr>
            <w:r>
              <w:rPr>
                <w:b w:val="0"/>
                <w:sz w:val="18"/>
              </w:rPr>
              <w:t>2013全年、5预算、两场景、3配对种子</w:t>
            </w:r>
          </w:p>
        </w:tc>
        <w:tc>
          <w:tcPr>
            <w:tcW w:type="dxa" w:w="3231"/>
            <w:tcBorders>
              <w:top w:val="single" w:sz="4" w:color="D9D9D9"/>
              <w:left w:val="single" w:sz="4" w:color="D9D9D9"/>
              <w:bottom w:val="single" w:sz="4" w:color="D9D9D9"/>
              <w:right w:val="single" w:sz="4" w:color="D9D9D9"/>
            </w:tcBorders>
            <w:shd w:fill="F5F7F9"/>
          </w:tcPr>
          <w:p>
            <w:pPr>
              <w:spacing w:after="100" w:before="100"/>
            </w:pPr>
            <w:r>
              <w:rPr>
                <w:b w:val="0"/>
                <w:sz w:val="18"/>
              </w:rPr>
              <w:t>机制、有限候选与停止决定</w:t>
            </w:r>
          </w:p>
        </w:tc>
      </w:tr>
      <w:tr>
        <w:trPr>
          <w:cantSplit/>
        </w:trPr>
        <w:tc>
          <w:tcPr>
            <w:tcW w:type="dxa" w:w="3005"/>
            <w:tcBorders>
              <w:top w:val="single" w:sz="4" w:color="D9D9D9"/>
              <w:left w:val="single" w:sz="4" w:color="D9D9D9"/>
              <w:bottom w:val="single" w:sz="4" w:color="D9D9D9"/>
              <w:right w:val="single" w:sz="4" w:color="D9D9D9"/>
            </w:tcBorders>
            <w:shd w:fill="FFFFFF"/>
          </w:tcPr>
          <w:p>
            <w:pPr>
              <w:spacing w:after="100" w:before="100"/>
            </w:pPr>
            <w:r>
              <w:rPr>
                <w:b w:val="0"/>
                <w:sz w:val="18"/>
              </w:rPr>
              <w:t>CLBR嵌套研究</w:t>
            </w:r>
          </w:p>
        </w:tc>
        <w:tc>
          <w:tcPr>
            <w:tcW w:type="dxa" w:w="3288"/>
            <w:tcBorders>
              <w:top w:val="single" w:sz="4" w:color="D9D9D9"/>
              <w:left w:val="single" w:sz="4" w:color="D9D9D9"/>
              <w:bottom w:val="single" w:sz="4" w:color="D9D9D9"/>
              <w:right w:val="single" w:sz="4" w:color="D9D9D9"/>
            </w:tcBorders>
            <w:shd w:fill="FFFFFF"/>
          </w:tcPr>
          <w:p>
            <w:pPr>
              <w:spacing w:after="100" w:before="100"/>
            </w:pPr>
            <w:r>
              <w:rPr>
                <w:b w:val="0"/>
                <w:sz w:val="18"/>
              </w:rPr>
              <w:t>2013四个连续季度外层留出及内层选择</w:t>
            </w:r>
          </w:p>
        </w:tc>
        <w:tc>
          <w:tcPr>
            <w:tcW w:type="dxa" w:w="3231"/>
            <w:tcBorders>
              <w:top w:val="single" w:sz="4" w:color="D9D9D9"/>
              <w:left w:val="single" w:sz="4" w:color="D9D9D9"/>
              <w:bottom w:val="single" w:sz="4" w:color="D9D9D9"/>
              <w:right w:val="single" w:sz="4" w:color="D9D9D9"/>
            </w:tcBorders>
            <w:shd w:fill="FFFFFF"/>
          </w:tcPr>
          <w:p>
            <w:pPr>
              <w:spacing w:after="100" w:before="100"/>
            </w:pPr>
            <w:r>
              <w:rPr>
                <w:b w:val="0"/>
                <w:sz w:val="18"/>
              </w:rPr>
              <w:t>开发年份分块下的有限模型评价</w:t>
            </w:r>
          </w:p>
        </w:tc>
      </w:tr>
    </w:tbl>
    <w:p>
      <w:pPr>
        <w:spacing w:after="20"/>
      </w:pPr>
    </w:p>
    <w:p>
      <w:r>
        <w:t>2014重构分支采用共同Maximin布局，部署分支固定RBMF。这是两类控制实验，尚不是每个部署布局交给每个重构器的完整交叉矩阵。CLBR季度嵌套降低折内泄漏，不能消除2013长期路线开发产生的选择偏差。</w:t>
      </w:r>
    </w:p>
    <w:p>
      <w:pPr>
        <w:pStyle w:val="Heading2"/>
      </w:pPr>
      <w:r>
        <w:t>4.4 必须补齐的比较和统计</w:t>
      </w:r>
    </w:p>
    <w:p>
      <w:r>
        <w:t>后续冻结方法后，在相同候选、预算和主重构器下依次比较无冰处理、原软惩罚、集合平均限制和逐点硬限制，设置未触发、部分触发与较强约束情景。无约束布局单列为性能代价参照。随后将各布局交给Ridge、LASSO、SBL评价，报告策略与重构器交互、排名变化及配对差值，另开展固定布局跨月评价。</w:t>
      </w:r>
    </w:p>
    <w:p>
      <w:r>
        <w:t>既有污染包括0.02℃高斯噪声、等方差t(3)、离群、缺测、LF偏移和训练污染，范围按原协议解释。新增扰动强度与节点失效方案应实验前规定。统计先按时间块汇总配对差值；种子仅表征同一环境内随机性，不能当独立环境数。失败与未达预算保留，并明确各均值的分母。</w:t>
      </w:r>
    </w:p>
    <w:p>
      <w:pPr>
        <w:pStyle w:val="Heading2"/>
      </w:pPr>
      <w:r>
        <w:t>4.5 复现与整理状态</w:t>
      </w:r>
    </w:p>
    <w:p>
      <w:r>
        <w:t>历史报告记录了正式比较1558811项核查、199200份预测指标重算，结构诊断最终81项测试、CLBR最终95项测试及独立外层/内层/区间核验。上述是历史验收记录，本轮只核验归档文件与报告引用，不把它们写成今天重新运行的测试。原数组、输入和压缩轨迹仍在原位置，不能仅凭图片和均值恢复所有实验。</w:t>
      </w:r>
    </w:p>
    <w:p>
      <w:pPr>
        <w:pStyle w:val="Heading1"/>
      </w:pPr>
      <w:r>
        <w:t>5 结果与讨论</w:t>
      </w:r>
    </w:p>
    <w:p>
      <w:pPr>
        <w:pStyle w:val="Heading2"/>
      </w:pPr>
      <w:r>
        <w:t>5.1 探索性重构结果与布局</w:t>
      </w:r>
    </w:p>
    <w:p>
      <w:r>
        <w:t>2014参数选择后、clean、12节点、相同Maximin站位的RMSE如下。其120个案例来自四个月×30种子，确定性clean重复不代表120个独立环境。</w:t>
      </w:r>
    </w:p>
    <w:tbl>
      <w:tblPr>
        <w:tblW w:type="auto" w:w="0"/>
        <w:tblLayout w:type="fixed"/>
        <w:tblLook w:firstColumn="1" w:firstRow="1" w:lastColumn="0" w:lastRow="0" w:noHBand="0" w:noVBand="1" w:val="04A0"/>
      </w:tblPr>
      <w:tblGrid>
        <w:gridCol w:w="3175"/>
        <w:gridCol w:w="3175"/>
        <w:gridCol w:w="3175"/>
      </w:tblGrid>
      <w:tr>
        <w:trPr>
          <w:cantSplit/>
          <w:tblHeader/>
        </w:trPr>
        <w:tc>
          <w:tcPr>
            <w:tcW w:type="dxa" w:w="3005"/>
            <w:tcBorders>
              <w:top w:val="single" w:sz="4" w:color="D9D9D9"/>
              <w:left w:val="single" w:sz="4" w:color="D9D9D9"/>
              <w:bottom w:val="single" w:sz="4" w:color="D9D9D9"/>
              <w:right w:val="single" w:sz="4" w:color="D9D9D9"/>
            </w:tcBorders>
            <w:shd w:fill="E8EEF3"/>
          </w:tcPr>
          <w:p>
            <w:pPr>
              <w:spacing w:after="100" w:before="100"/>
            </w:pPr>
            <w:r>
              <w:rPr>
                <w:b/>
                <w:sz w:val="18"/>
              </w:rPr>
              <w:t>重构器</w:t>
            </w:r>
          </w:p>
        </w:tc>
        <w:tc>
          <w:tcPr>
            <w:tcW w:type="dxa" w:w="3288"/>
            <w:tcBorders>
              <w:top w:val="single" w:sz="4" w:color="D9D9D9"/>
              <w:left w:val="single" w:sz="4" w:color="D9D9D9"/>
              <w:bottom w:val="single" w:sz="4" w:color="D9D9D9"/>
              <w:right w:val="single" w:sz="4" w:color="D9D9D9"/>
            </w:tcBorders>
            <w:shd w:fill="E8EEF3"/>
          </w:tcPr>
          <w:p>
            <w:pPr>
              <w:spacing w:after="100" w:before="100"/>
            </w:pPr>
            <w:r>
              <w:rPr>
                <w:b/>
                <w:sz w:val="18"/>
              </w:rPr>
              <w:t>面积加权RMSE ℃</w:t>
            </w:r>
          </w:p>
        </w:tc>
        <w:tc>
          <w:tcPr>
            <w:tcW w:type="dxa" w:w="3231"/>
            <w:tcBorders>
              <w:top w:val="single" w:sz="4" w:color="D9D9D9"/>
              <w:left w:val="single" w:sz="4" w:color="D9D9D9"/>
              <w:bottom w:val="single" w:sz="4" w:color="D9D9D9"/>
              <w:right w:val="single" w:sz="4" w:color="D9D9D9"/>
            </w:tcBorders>
            <w:shd w:fill="E8EEF3"/>
          </w:tcPr>
          <w:p>
            <w:pPr>
              <w:spacing w:after="100" w:before="100"/>
            </w:pPr>
            <w:r>
              <w:rPr>
                <w:b/>
                <w:sz w:val="18"/>
              </w:rPr>
              <w:t>达到预算且收敛案例</w:t>
            </w:r>
          </w:p>
        </w:tc>
      </w:tr>
      <w:tr>
        <w:trPr>
          <w:cantSplit/>
        </w:trPr>
        <w:tc>
          <w:tcPr>
            <w:tcW w:type="dxa" w:w="3005"/>
            <w:tcBorders>
              <w:top w:val="single" w:sz="4" w:color="D9D9D9"/>
              <w:left w:val="single" w:sz="4" w:color="D9D9D9"/>
              <w:bottom w:val="single" w:sz="4" w:color="D9D9D9"/>
              <w:right w:val="single" w:sz="4" w:color="D9D9D9"/>
            </w:tcBorders>
            <w:shd w:fill="F5F7F9"/>
          </w:tcPr>
          <w:p>
            <w:pPr>
              <w:spacing w:after="100" w:before="100"/>
            </w:pPr>
            <w:r>
              <w:rPr>
                <w:b w:val="0"/>
                <w:sz w:val="18"/>
              </w:rPr>
              <w:t>仅ORAS5</w:t>
            </w:r>
          </w:p>
        </w:tc>
        <w:tc>
          <w:tcPr>
            <w:tcW w:type="dxa" w:w="3288"/>
            <w:tcBorders>
              <w:top w:val="single" w:sz="4" w:color="D9D9D9"/>
              <w:left w:val="single" w:sz="4" w:color="D9D9D9"/>
              <w:bottom w:val="single" w:sz="4" w:color="D9D9D9"/>
              <w:right w:val="single" w:sz="4" w:color="D9D9D9"/>
            </w:tcBorders>
            <w:shd w:fill="F5F7F9"/>
          </w:tcPr>
          <w:p>
            <w:pPr>
              <w:spacing w:after="100" w:before="100"/>
            </w:pPr>
            <w:r>
              <w:rPr>
                <w:b w:val="0"/>
                <w:sz w:val="18"/>
              </w:rPr>
              <w:t>0.706389</w:t>
            </w:r>
          </w:p>
        </w:tc>
        <w:tc>
          <w:tcPr>
            <w:tcW w:type="dxa" w:w="3231"/>
            <w:tcBorders>
              <w:top w:val="single" w:sz="4" w:color="D9D9D9"/>
              <w:left w:val="single" w:sz="4" w:color="D9D9D9"/>
              <w:bottom w:val="single" w:sz="4" w:color="D9D9D9"/>
              <w:right w:val="single" w:sz="4" w:color="D9D9D9"/>
            </w:tcBorders>
            <w:shd w:fill="F5F7F9"/>
          </w:tcPr>
          <w:p>
            <w:pPr>
              <w:spacing w:after="100" w:before="100"/>
            </w:pPr>
            <w:r>
              <w:rPr>
                <w:b w:val="0"/>
                <w:sz w:val="18"/>
              </w:rPr>
              <w:t>120/120</w:t>
            </w:r>
          </w:p>
        </w:tc>
      </w:tr>
      <w:tr>
        <w:trPr>
          <w:cantSplit/>
        </w:trPr>
        <w:tc>
          <w:tcPr>
            <w:tcW w:type="dxa" w:w="3005"/>
            <w:tcBorders>
              <w:top w:val="single" w:sz="4" w:color="D9D9D9"/>
              <w:left w:val="single" w:sz="4" w:color="D9D9D9"/>
              <w:bottom w:val="single" w:sz="4" w:color="D9D9D9"/>
              <w:right w:val="single" w:sz="4" w:color="D9D9D9"/>
            </w:tcBorders>
            <w:shd w:fill="FFFFFF"/>
          </w:tcPr>
          <w:p>
            <w:pPr>
              <w:spacing w:after="100" w:before="100"/>
            </w:pPr>
            <w:r>
              <w:rPr>
                <w:b w:val="0"/>
                <w:sz w:val="18"/>
              </w:rPr>
              <w:t>POD-Ridge</w:t>
            </w:r>
          </w:p>
        </w:tc>
        <w:tc>
          <w:tcPr>
            <w:tcW w:type="dxa" w:w="3288"/>
            <w:tcBorders>
              <w:top w:val="single" w:sz="4" w:color="D9D9D9"/>
              <w:left w:val="single" w:sz="4" w:color="D9D9D9"/>
              <w:bottom w:val="single" w:sz="4" w:color="D9D9D9"/>
              <w:right w:val="single" w:sz="4" w:color="D9D9D9"/>
            </w:tcBorders>
            <w:shd w:fill="FFFFFF"/>
          </w:tcPr>
          <w:p>
            <w:pPr>
              <w:spacing w:after="100" w:before="100"/>
            </w:pPr>
            <w:r>
              <w:rPr>
                <w:b w:val="0"/>
                <w:sz w:val="18"/>
              </w:rPr>
              <w:t>0.474100</w:t>
            </w:r>
          </w:p>
        </w:tc>
        <w:tc>
          <w:tcPr>
            <w:tcW w:type="dxa" w:w="3231"/>
            <w:tcBorders>
              <w:top w:val="single" w:sz="4" w:color="D9D9D9"/>
              <w:left w:val="single" w:sz="4" w:color="D9D9D9"/>
              <w:bottom w:val="single" w:sz="4" w:color="D9D9D9"/>
              <w:right w:val="single" w:sz="4" w:color="D9D9D9"/>
            </w:tcBorders>
            <w:shd w:fill="FFFFFF"/>
          </w:tcPr>
          <w:p>
            <w:pPr>
              <w:spacing w:after="100" w:before="100"/>
            </w:pPr>
            <w:r>
              <w:rPr>
                <w:b w:val="0"/>
                <w:sz w:val="18"/>
              </w:rPr>
              <w:t>120/120</w:t>
            </w:r>
          </w:p>
        </w:tc>
      </w:tr>
      <w:tr>
        <w:trPr>
          <w:cantSplit/>
        </w:trPr>
        <w:tc>
          <w:tcPr>
            <w:tcW w:type="dxa" w:w="3005"/>
            <w:tcBorders>
              <w:top w:val="single" w:sz="4" w:color="D9D9D9"/>
              <w:left w:val="single" w:sz="4" w:color="D9D9D9"/>
              <w:bottom w:val="single" w:sz="4" w:color="D9D9D9"/>
              <w:right w:val="single" w:sz="4" w:color="D9D9D9"/>
            </w:tcBorders>
            <w:shd w:fill="F5F7F9"/>
          </w:tcPr>
          <w:p>
            <w:pPr>
              <w:spacing w:after="100" w:before="100"/>
            </w:pPr>
            <w:r>
              <w:rPr>
                <w:b w:val="0"/>
                <w:sz w:val="18"/>
              </w:rPr>
              <w:t>POD-LASSO</w:t>
            </w:r>
          </w:p>
        </w:tc>
        <w:tc>
          <w:tcPr>
            <w:tcW w:type="dxa" w:w="3288"/>
            <w:tcBorders>
              <w:top w:val="single" w:sz="4" w:color="D9D9D9"/>
              <w:left w:val="single" w:sz="4" w:color="D9D9D9"/>
              <w:bottom w:val="single" w:sz="4" w:color="D9D9D9"/>
              <w:right w:val="single" w:sz="4" w:color="D9D9D9"/>
            </w:tcBorders>
            <w:shd w:fill="F5F7F9"/>
          </w:tcPr>
          <w:p>
            <w:pPr>
              <w:spacing w:after="100" w:before="100"/>
            </w:pPr>
            <w:r>
              <w:rPr>
                <w:b w:val="0"/>
                <w:sz w:val="18"/>
              </w:rPr>
              <w:t>0.439841</w:t>
            </w:r>
          </w:p>
        </w:tc>
        <w:tc>
          <w:tcPr>
            <w:tcW w:type="dxa" w:w="3231"/>
            <w:tcBorders>
              <w:top w:val="single" w:sz="4" w:color="D9D9D9"/>
              <w:left w:val="single" w:sz="4" w:color="D9D9D9"/>
              <w:bottom w:val="single" w:sz="4" w:color="D9D9D9"/>
              <w:right w:val="single" w:sz="4" w:color="D9D9D9"/>
            </w:tcBorders>
            <w:shd w:fill="F5F7F9"/>
          </w:tcPr>
          <w:p>
            <w:pPr>
              <w:spacing w:after="100" w:before="100"/>
            </w:pPr>
            <w:r>
              <w:rPr>
                <w:b w:val="0"/>
                <w:sz w:val="18"/>
              </w:rPr>
              <w:t>120/120</w:t>
            </w:r>
          </w:p>
        </w:tc>
      </w:tr>
      <w:tr>
        <w:trPr>
          <w:cantSplit/>
        </w:trPr>
        <w:tc>
          <w:tcPr>
            <w:tcW w:type="dxa" w:w="3005"/>
            <w:tcBorders>
              <w:top w:val="single" w:sz="4" w:color="D9D9D9"/>
              <w:left w:val="single" w:sz="4" w:color="D9D9D9"/>
              <w:bottom w:val="single" w:sz="4" w:color="D9D9D9"/>
              <w:right w:val="single" w:sz="4" w:color="D9D9D9"/>
            </w:tcBorders>
            <w:shd w:fill="FFFFFF"/>
          </w:tcPr>
          <w:p>
            <w:pPr>
              <w:spacing w:after="100" w:before="100"/>
            </w:pPr>
            <w:r>
              <w:rPr>
                <w:b w:val="0"/>
                <w:sz w:val="18"/>
              </w:rPr>
              <w:t>Gaussian-SBL</w:t>
            </w:r>
          </w:p>
        </w:tc>
        <w:tc>
          <w:tcPr>
            <w:tcW w:type="dxa" w:w="3288"/>
            <w:tcBorders>
              <w:top w:val="single" w:sz="4" w:color="D9D9D9"/>
              <w:left w:val="single" w:sz="4" w:color="D9D9D9"/>
              <w:bottom w:val="single" w:sz="4" w:color="D9D9D9"/>
              <w:right w:val="single" w:sz="4" w:color="D9D9D9"/>
            </w:tcBorders>
            <w:shd w:fill="FFFFFF"/>
          </w:tcPr>
          <w:p>
            <w:pPr>
              <w:spacing w:after="100" w:before="100"/>
            </w:pPr>
            <w:r>
              <w:rPr>
                <w:b w:val="0"/>
                <w:sz w:val="18"/>
              </w:rPr>
              <w:t>0.451626</w:t>
            </w:r>
          </w:p>
        </w:tc>
        <w:tc>
          <w:tcPr>
            <w:tcW w:type="dxa" w:w="3231"/>
            <w:tcBorders>
              <w:top w:val="single" w:sz="4" w:color="D9D9D9"/>
              <w:left w:val="single" w:sz="4" w:color="D9D9D9"/>
              <w:bottom w:val="single" w:sz="4" w:color="D9D9D9"/>
              <w:right w:val="single" w:sz="4" w:color="D9D9D9"/>
            </w:tcBorders>
            <w:shd w:fill="FFFFFF"/>
          </w:tcPr>
          <w:p>
            <w:pPr>
              <w:spacing w:after="100" w:before="100"/>
            </w:pPr>
            <w:r>
              <w:rPr>
                <w:b w:val="0"/>
                <w:sz w:val="18"/>
              </w:rPr>
              <w:t>120/120</w:t>
            </w:r>
          </w:p>
        </w:tc>
      </w:tr>
      <w:tr>
        <w:trPr>
          <w:cantSplit/>
        </w:trPr>
        <w:tc>
          <w:tcPr>
            <w:tcW w:type="dxa" w:w="3005"/>
            <w:tcBorders>
              <w:top w:val="single" w:sz="4" w:color="D9D9D9"/>
              <w:left w:val="single" w:sz="4" w:color="D9D9D9"/>
              <w:bottom w:val="single" w:sz="4" w:color="D9D9D9"/>
              <w:right w:val="single" w:sz="4" w:color="D9D9D9"/>
            </w:tcBorders>
            <w:shd w:fill="F5F7F9"/>
          </w:tcPr>
          <w:p>
            <w:pPr>
              <w:spacing w:after="100" w:before="100"/>
            </w:pPr>
            <w:r>
              <w:rPr>
                <w:b w:val="0"/>
                <w:sz w:val="18"/>
              </w:rPr>
              <w:t>确定性多保真</w:t>
            </w:r>
          </w:p>
        </w:tc>
        <w:tc>
          <w:tcPr>
            <w:tcW w:type="dxa" w:w="3288"/>
            <w:tcBorders>
              <w:top w:val="single" w:sz="4" w:color="D9D9D9"/>
              <w:left w:val="single" w:sz="4" w:color="D9D9D9"/>
              <w:bottom w:val="single" w:sz="4" w:color="D9D9D9"/>
              <w:right w:val="single" w:sz="4" w:color="D9D9D9"/>
            </w:tcBorders>
            <w:shd w:fill="F5F7F9"/>
          </w:tcPr>
          <w:p>
            <w:pPr>
              <w:spacing w:after="100" w:before="100"/>
            </w:pPr>
            <w:r>
              <w:rPr>
                <w:b w:val="0"/>
                <w:sz w:val="18"/>
              </w:rPr>
              <w:t>0.628681</w:t>
            </w:r>
          </w:p>
        </w:tc>
        <w:tc>
          <w:tcPr>
            <w:tcW w:type="dxa" w:w="3231"/>
            <w:tcBorders>
              <w:top w:val="single" w:sz="4" w:color="D9D9D9"/>
              <w:left w:val="single" w:sz="4" w:color="D9D9D9"/>
              <w:bottom w:val="single" w:sz="4" w:color="D9D9D9"/>
              <w:right w:val="single" w:sz="4" w:color="D9D9D9"/>
            </w:tcBorders>
            <w:shd w:fill="F5F7F9"/>
          </w:tcPr>
          <w:p>
            <w:pPr>
              <w:spacing w:after="100" w:before="100"/>
            </w:pPr>
            <w:r>
              <w:rPr>
                <w:b w:val="0"/>
                <w:sz w:val="18"/>
              </w:rPr>
              <w:t>120/120</w:t>
            </w:r>
          </w:p>
        </w:tc>
      </w:tr>
      <w:tr>
        <w:trPr>
          <w:cantSplit/>
        </w:trPr>
        <w:tc>
          <w:tcPr>
            <w:tcW w:type="dxa" w:w="3005"/>
            <w:tcBorders>
              <w:top w:val="single" w:sz="4" w:color="D9D9D9"/>
              <w:left w:val="single" w:sz="4" w:color="D9D9D9"/>
              <w:bottom w:val="single" w:sz="4" w:color="D9D9D9"/>
              <w:right w:val="single" w:sz="4" w:color="D9D9D9"/>
            </w:tcBorders>
            <w:shd w:fill="FFFFFF"/>
          </w:tcPr>
          <w:p>
            <w:pPr>
              <w:spacing w:after="100" w:before="100"/>
            </w:pPr>
            <w:r>
              <w:rPr>
                <w:b w:val="0"/>
                <w:sz w:val="18"/>
              </w:rPr>
              <w:t>RBMF</w:t>
            </w:r>
          </w:p>
        </w:tc>
        <w:tc>
          <w:tcPr>
            <w:tcW w:type="dxa" w:w="3288"/>
            <w:tcBorders>
              <w:top w:val="single" w:sz="4" w:color="D9D9D9"/>
              <w:left w:val="single" w:sz="4" w:color="D9D9D9"/>
              <w:bottom w:val="single" w:sz="4" w:color="D9D9D9"/>
              <w:right w:val="single" w:sz="4" w:color="D9D9D9"/>
            </w:tcBorders>
            <w:shd w:fill="FFFFFF"/>
          </w:tcPr>
          <w:p>
            <w:pPr>
              <w:spacing w:after="100" w:before="100"/>
            </w:pPr>
            <w:r>
              <w:rPr>
                <w:b w:val="0"/>
                <w:sz w:val="18"/>
              </w:rPr>
              <w:t>0.528708</w:t>
            </w:r>
          </w:p>
        </w:tc>
        <w:tc>
          <w:tcPr>
            <w:tcW w:type="dxa" w:w="3231"/>
            <w:tcBorders>
              <w:top w:val="single" w:sz="4" w:color="D9D9D9"/>
              <w:left w:val="single" w:sz="4" w:color="D9D9D9"/>
              <w:bottom w:val="single" w:sz="4" w:color="D9D9D9"/>
              <w:right w:val="single" w:sz="4" w:color="D9D9D9"/>
            </w:tcBorders>
            <w:shd w:fill="FFFFFF"/>
          </w:tcPr>
          <w:p>
            <w:pPr>
              <w:spacing w:after="100" w:before="100"/>
            </w:pPr>
            <w:r>
              <w:rPr>
                <w:b w:val="0"/>
                <w:sz w:val="18"/>
              </w:rPr>
              <w:t>120/120</w:t>
            </w:r>
          </w:p>
        </w:tc>
      </w:tr>
    </w:tbl>
    <w:p>
      <w:pPr>
        <w:spacing w:after="20"/>
      </w:pPr>
    </w:p>
    <w:p>
      <w:r>
        <w:t>RBMF比仅ORAS5误差低约25.2%，但比Ridge高约11.5%，比LASSO高约20.2%。该年度排序与2013整体排序不同，支持开展跨时间及跨重构器评价，不支持挑选一个年度宣布普遍优势。</w:t>
      </w:r>
    </w:p>
    <w:p>
      <w:pPr>
        <w:keepNext/>
        <w:jc w:val="center"/>
      </w:pPr>
      <w:r>
        <w:drawing>
          <wp:inline xmlns:a="http://schemas.openxmlformats.org/drawingml/2006/main" xmlns:pic="http://schemas.openxmlformats.org/drawingml/2006/picture">
            <wp:extent cx="6048000" cy="3513505"/>
            <wp:docPr id="1" name="Picture 1"/>
            <wp:cNvGraphicFramePr>
              <a:graphicFrameLocks noChangeAspect="1"/>
            </wp:cNvGraphicFramePr>
            <a:graphic>
              <a:graphicData uri="http://schemas.openxmlformats.org/drawingml/2006/picture">
                <pic:pic>
                  <pic:nvPicPr>
                    <pic:cNvPr id="0" name="error_nodes_reconstruction.png"/>
                    <pic:cNvPicPr/>
                  </pic:nvPicPr>
                  <pic:blipFill>
                    <a:blip r:embed="rId11"/>
                    <a:stretch>
                      <a:fillRect/>
                    </a:stretch>
                  </pic:blipFill>
                  <pic:spPr>
                    <a:xfrm>
                      <a:off x="0" y="0"/>
                      <a:ext cx="6048000" cy="3513505"/>
                    </a:xfrm>
                    <a:prstGeom prst="rect"/>
                  </pic:spPr>
                </pic:pic>
              </a:graphicData>
            </a:graphic>
          </wp:inline>
        </w:drawing>
      </w:r>
    </w:p>
    <w:p>
      <w:pPr>
        <w:pStyle w:val="Caption"/>
        <w:keepNext/>
        <w:jc w:val="center"/>
      </w:pPr>
      <w:r>
        <w:t>图1 重构误差与节点预算</w:t>
      </w:r>
    </w:p>
    <w:p>
      <w:r>
        <w:t>图1来源：2014探索性正式比较已生成原图。展示多预算关系，不是独立测试曲线。</w:t>
      </w:r>
    </w:p>
    <w:p>
      <w:pPr>
        <w:keepNext/>
        <w:jc w:val="center"/>
      </w:pPr>
      <w:r>
        <w:drawing>
          <wp:inline xmlns:a="http://schemas.openxmlformats.org/drawingml/2006/main" xmlns:pic="http://schemas.openxmlformats.org/drawingml/2006/picture">
            <wp:extent cx="5943729" cy="3600000"/>
            <wp:docPr id="2" name="Picture 2"/>
            <wp:cNvGraphicFramePr>
              <a:graphicFrameLocks noChangeAspect="1"/>
            </wp:cNvGraphicFramePr>
            <a:graphic>
              <a:graphicData uri="http://schemas.openxmlformats.org/drawingml/2006/picture">
                <pic:pic>
                  <pic:nvPicPr>
                    <pic:cNvPr id="0" name="spatial_common_scale.png"/>
                    <pic:cNvPicPr/>
                  </pic:nvPicPr>
                  <pic:blipFill>
                    <a:blip r:embed="rId12"/>
                    <a:stretch>
                      <a:fillRect/>
                    </a:stretch>
                  </pic:blipFill>
                  <pic:spPr>
                    <a:xfrm>
                      <a:off x="0" y="0"/>
                      <a:ext cx="5943729" cy="3600000"/>
                    </a:xfrm>
                    <a:prstGeom prst="rect"/>
                  </pic:spPr>
                </pic:pic>
              </a:graphicData>
            </a:graphic>
          </wp:inline>
        </w:drawing>
      </w:r>
    </w:p>
    <w:p>
      <w:pPr>
        <w:pStyle w:val="Caption"/>
        <w:keepNext/>
        <w:jc w:val="center"/>
      </w:pPr>
      <w:r>
        <w:t>图2 共同色标下的场与站位布局</w:t>
      </w:r>
    </w:p>
    <w:p>
      <w:r>
        <w:t>图2来源：201401、seed0、clean、12节点，按最早月份、最小种子、最大计划预算预先规则选取。共同温度色标约−1.9475至7.4600℃。地图可展示布局与空间误差，但单张图不能证明部署合理性或季节稳定性。</w:t>
      </w:r>
    </w:p>
    <w:p>
      <w:pPr>
        <w:pStyle w:val="Heading2"/>
      </w:pPr>
      <w:r>
        <w:t>5.2 部署策略与约束代价</w:t>
      </w:r>
    </w:p>
    <w:p>
      <w:r>
        <w:t>在固定RBMF重构器下，2014 clean、12节点的Random、Maximin、POD-QR、熵权QR与MC-EIR误差分别为0.528754、0.528711、0.528830、0.528869、0.528791℃。MC-EIR未优于Random或Maximin；差异仅数十至百余微℃，图的放大刻度不能解释为实用精度优势。</w:t>
      </w:r>
    </w:p>
    <w:p>
      <w:pPr>
        <w:keepNext/>
        <w:jc w:val="center"/>
      </w:pPr>
      <w:r>
        <w:drawing>
          <wp:inline xmlns:a="http://schemas.openxmlformats.org/drawingml/2006/main" xmlns:pic="http://schemas.openxmlformats.org/drawingml/2006/picture">
            <wp:extent cx="6048000" cy="3513505"/>
            <wp:docPr id="3" name="Picture 3"/>
            <wp:cNvGraphicFramePr>
              <a:graphicFrameLocks noChangeAspect="1"/>
            </wp:cNvGraphicFramePr>
            <a:graphic>
              <a:graphicData uri="http://schemas.openxmlformats.org/drawingml/2006/picture">
                <pic:pic>
                  <pic:nvPicPr>
                    <pic:cNvPr id="0" name="error_nodes_deployment.png"/>
                    <pic:cNvPicPr/>
                  </pic:nvPicPr>
                  <pic:blipFill>
                    <a:blip r:embed="rId13"/>
                    <a:stretch>
                      <a:fillRect/>
                    </a:stretch>
                  </pic:blipFill>
                  <pic:spPr>
                    <a:xfrm>
                      <a:off x="0" y="0"/>
                      <a:ext cx="6048000" cy="3513505"/>
                    </a:xfrm>
                    <a:prstGeom prst="rect"/>
                  </pic:spPr>
                </pic:pic>
              </a:graphicData>
            </a:graphic>
          </wp:inline>
        </w:drawing>
      </w:r>
    </w:p>
    <w:p>
      <w:pPr>
        <w:pStyle w:val="Caption"/>
        <w:keepNext/>
        <w:jc w:val="center"/>
      </w:pPr>
      <w:r>
        <w:t>图3 部署误差与节点预算</w:t>
      </w:r>
    </w:p>
    <w:p>
      <w:r>
        <w:t>图3来源：固定RBMF的部署比较。部署收益可能被弱观测响应遮蔽，需在Ridge等重构器下重新检验，不能直接断言所有策略等价。</w:t>
      </w:r>
    </w:p>
    <w:tbl>
      <w:tblPr>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3685"/>
            <w:tcBorders>
              <w:top w:val="single" w:sz="4" w:color="D9D9D9"/>
              <w:left w:val="single" w:sz="4" w:color="D9D9D9"/>
              <w:bottom w:val="single" w:sz="4" w:color="D9D9D9"/>
              <w:right w:val="single" w:sz="4" w:color="D9D9D9"/>
            </w:tcBorders>
            <w:shd w:fill="E8EEF3"/>
          </w:tcPr>
          <w:p>
            <w:pPr>
              <w:spacing w:after="100" w:before="100"/>
            </w:pPr>
            <w:r>
              <w:rPr>
                <w:b/>
                <w:sz w:val="18"/>
              </w:rPr>
              <w:t>策略及约束状态</w:t>
            </w:r>
          </w:p>
        </w:tc>
        <w:tc>
          <w:tcPr>
            <w:tcW w:type="dxa" w:w="1871"/>
            <w:tcBorders>
              <w:top w:val="single" w:sz="4" w:color="D9D9D9"/>
              <w:left w:val="single" w:sz="4" w:color="D9D9D9"/>
              <w:bottom w:val="single" w:sz="4" w:color="D9D9D9"/>
              <w:right w:val="single" w:sz="4" w:color="D9D9D9"/>
            </w:tcBorders>
            <w:shd w:fill="E8EEF3"/>
          </w:tcPr>
          <w:p>
            <w:pPr>
              <w:spacing w:after="100" w:before="100"/>
            </w:pPr>
            <w:r>
              <w:rPr>
                <w:b/>
                <w:sz w:val="18"/>
              </w:rPr>
              <w:t>clean RMSE ℃</w:t>
            </w:r>
          </w:p>
        </w:tc>
        <w:tc>
          <w:tcPr>
            <w:tcW w:type="dxa" w:w="1984"/>
            <w:tcBorders>
              <w:top w:val="single" w:sz="4" w:color="D9D9D9"/>
              <w:left w:val="single" w:sz="4" w:color="D9D9D9"/>
              <w:bottom w:val="single" w:sz="4" w:color="D9D9D9"/>
              <w:right w:val="single" w:sz="4" w:color="D9D9D9"/>
            </w:tcBorders>
            <w:shd w:fill="E8EEF3"/>
          </w:tcPr>
          <w:p>
            <w:pPr>
              <w:spacing w:after="100" w:before="100"/>
            </w:pPr>
            <w:r>
              <w:rPr>
                <w:b/>
                <w:sz w:val="18"/>
              </w:rPr>
              <w:t>按原情景审计可行率</w:t>
            </w:r>
          </w:p>
        </w:tc>
        <w:tc>
          <w:tcPr>
            <w:tcW w:type="dxa" w:w="1984"/>
            <w:tcBorders>
              <w:top w:val="single" w:sz="4" w:color="D9D9D9"/>
              <w:left w:val="single" w:sz="4" w:color="D9D9D9"/>
              <w:bottom w:val="single" w:sz="4" w:color="D9D9D9"/>
              <w:right w:val="single" w:sz="4" w:color="D9D9D9"/>
            </w:tcBorders>
            <w:shd w:fill="E8EEF3"/>
          </w:tcPr>
          <w:p>
            <w:pPr>
              <w:spacing w:after="100" w:before="100"/>
            </w:pPr>
            <w:r>
              <w:rPr>
                <w:b/>
                <w:sz w:val="18"/>
              </w:rPr>
              <w:t>场景成本</w:t>
            </w:r>
          </w:p>
        </w:tc>
      </w:tr>
      <w:tr>
        <w:trPr>
          <w:cantSplit/>
        </w:trPr>
        <w:tc>
          <w:tcPr>
            <w:tcW w:type="dxa" w:w="3685"/>
            <w:tcBorders>
              <w:top w:val="single" w:sz="4" w:color="D9D9D9"/>
              <w:left w:val="single" w:sz="4" w:color="D9D9D9"/>
              <w:bottom w:val="single" w:sz="4" w:color="D9D9D9"/>
              <w:right w:val="single" w:sz="4" w:color="D9D9D9"/>
            </w:tcBorders>
            <w:shd w:fill="F5F7F9"/>
          </w:tcPr>
          <w:p>
            <w:pPr>
              <w:spacing w:after="100" w:before="100"/>
            </w:pPr>
            <w:r>
              <w:rPr>
                <w:b w:val="0"/>
                <w:sz w:val="18"/>
              </w:rPr>
              <w:t>约束POD-QR</w:t>
            </w:r>
          </w:p>
        </w:tc>
        <w:tc>
          <w:tcPr>
            <w:tcW w:type="dxa" w:w="1871"/>
            <w:tcBorders>
              <w:top w:val="single" w:sz="4" w:color="D9D9D9"/>
              <w:left w:val="single" w:sz="4" w:color="D9D9D9"/>
              <w:bottom w:val="single" w:sz="4" w:color="D9D9D9"/>
              <w:right w:val="single" w:sz="4" w:color="D9D9D9"/>
            </w:tcBorders>
            <w:shd w:fill="F5F7F9"/>
          </w:tcPr>
          <w:p>
            <w:pPr>
              <w:spacing w:after="100" w:before="100"/>
            </w:pPr>
            <w:r>
              <w:rPr>
                <w:b w:val="0"/>
                <w:sz w:val="18"/>
              </w:rPr>
              <w:t>0.528830</w:t>
            </w:r>
          </w:p>
        </w:tc>
        <w:tc>
          <w:tcPr>
            <w:tcW w:type="dxa" w:w="1984"/>
            <w:tcBorders>
              <w:top w:val="single" w:sz="4" w:color="D9D9D9"/>
              <w:left w:val="single" w:sz="4" w:color="D9D9D9"/>
              <w:bottom w:val="single" w:sz="4" w:color="D9D9D9"/>
              <w:right w:val="single" w:sz="4" w:color="D9D9D9"/>
            </w:tcBorders>
            <w:shd w:fill="F5F7F9"/>
          </w:tcPr>
          <w:p>
            <w:pPr>
              <w:spacing w:after="100" w:before="100"/>
            </w:pPr>
            <w:r>
              <w:rPr>
                <w:b w:val="0"/>
                <w:sz w:val="18"/>
              </w:rPr>
              <w:t>1.000000</w:t>
            </w:r>
          </w:p>
        </w:tc>
        <w:tc>
          <w:tcPr>
            <w:tcW w:type="dxa" w:w="1984"/>
            <w:tcBorders>
              <w:top w:val="single" w:sz="4" w:color="D9D9D9"/>
              <w:left w:val="single" w:sz="4" w:color="D9D9D9"/>
              <w:bottom w:val="single" w:sz="4" w:color="D9D9D9"/>
              <w:right w:val="single" w:sz="4" w:color="D9D9D9"/>
            </w:tcBorders>
            <w:shd w:fill="F5F7F9"/>
          </w:tcPr>
          <w:p>
            <w:pPr>
              <w:spacing w:after="100" w:before="100"/>
            </w:pPr>
            <w:r>
              <w:rPr>
                <w:b w:val="0"/>
                <w:sz w:val="18"/>
              </w:rPr>
              <w:t>13.017000</w:t>
            </w:r>
          </w:p>
        </w:tc>
      </w:tr>
      <w:tr>
        <w:trPr>
          <w:cantSplit/>
        </w:trPr>
        <w:tc>
          <w:tcPr>
            <w:tcW w:type="dxa" w:w="3685"/>
            <w:tcBorders>
              <w:top w:val="single" w:sz="4" w:color="D9D9D9"/>
              <w:left w:val="single" w:sz="4" w:color="D9D9D9"/>
              <w:bottom w:val="single" w:sz="4" w:color="D9D9D9"/>
              <w:right w:val="single" w:sz="4" w:color="D9D9D9"/>
            </w:tcBorders>
            <w:shd w:fill="FFFFFF"/>
          </w:tcPr>
          <w:p>
            <w:pPr>
              <w:spacing w:after="100" w:before="100"/>
            </w:pPr>
            <w:r>
              <w:rPr>
                <w:b w:val="0"/>
                <w:sz w:val="18"/>
              </w:rPr>
              <w:t>无约束POD-QR</w:t>
            </w:r>
          </w:p>
        </w:tc>
        <w:tc>
          <w:tcPr>
            <w:tcW w:type="dxa" w:w="1871"/>
            <w:tcBorders>
              <w:top w:val="single" w:sz="4" w:color="D9D9D9"/>
              <w:left w:val="single" w:sz="4" w:color="D9D9D9"/>
              <w:bottom w:val="single" w:sz="4" w:color="D9D9D9"/>
              <w:right w:val="single" w:sz="4" w:color="D9D9D9"/>
            </w:tcBorders>
            <w:shd w:fill="FFFFFF"/>
          </w:tcPr>
          <w:p>
            <w:pPr>
              <w:spacing w:after="100" w:before="100"/>
            </w:pPr>
            <w:r>
              <w:rPr>
                <w:b w:val="0"/>
                <w:sz w:val="18"/>
              </w:rPr>
              <w:t>0.528753</w:t>
            </w:r>
          </w:p>
        </w:tc>
        <w:tc>
          <w:tcPr>
            <w:tcW w:type="dxa" w:w="1984"/>
            <w:tcBorders>
              <w:top w:val="single" w:sz="4" w:color="D9D9D9"/>
              <w:left w:val="single" w:sz="4" w:color="D9D9D9"/>
              <w:bottom w:val="single" w:sz="4" w:color="D9D9D9"/>
              <w:right w:val="single" w:sz="4" w:color="D9D9D9"/>
            </w:tcBorders>
            <w:shd w:fill="FFFFFF"/>
          </w:tcPr>
          <w:p>
            <w:pPr>
              <w:spacing w:after="100" w:before="100"/>
            </w:pPr>
            <w:r>
              <w:rPr>
                <w:b w:val="0"/>
                <w:sz w:val="18"/>
              </w:rPr>
              <w:t>0.000000</w:t>
            </w:r>
          </w:p>
        </w:tc>
        <w:tc>
          <w:tcPr>
            <w:tcW w:type="dxa" w:w="1984"/>
            <w:tcBorders>
              <w:top w:val="single" w:sz="4" w:color="D9D9D9"/>
              <w:left w:val="single" w:sz="4" w:color="D9D9D9"/>
              <w:bottom w:val="single" w:sz="4" w:color="D9D9D9"/>
              <w:right w:val="single" w:sz="4" w:color="D9D9D9"/>
            </w:tcBorders>
            <w:shd w:fill="FFFFFF"/>
          </w:tcPr>
          <w:p>
            <w:pPr>
              <w:spacing w:after="100" w:before="100"/>
            </w:pPr>
            <w:r>
              <w:rPr>
                <w:b w:val="0"/>
                <w:sz w:val="18"/>
              </w:rPr>
              <w:t>13.801500</w:t>
            </w:r>
          </w:p>
        </w:tc>
      </w:tr>
      <w:tr>
        <w:trPr>
          <w:cantSplit/>
        </w:trPr>
        <w:tc>
          <w:tcPr>
            <w:tcW w:type="dxa" w:w="3685"/>
            <w:tcBorders>
              <w:top w:val="single" w:sz="4" w:color="D9D9D9"/>
              <w:left w:val="single" w:sz="4" w:color="D9D9D9"/>
              <w:bottom w:val="single" w:sz="4" w:color="D9D9D9"/>
              <w:right w:val="single" w:sz="4" w:color="D9D9D9"/>
            </w:tcBorders>
            <w:shd w:fill="F5F7F9"/>
          </w:tcPr>
          <w:p>
            <w:pPr>
              <w:spacing w:after="100" w:before="100"/>
            </w:pPr>
            <w:r>
              <w:rPr>
                <w:b w:val="0"/>
                <w:sz w:val="18"/>
              </w:rPr>
              <w:t>约束MC-EIR</w:t>
            </w:r>
          </w:p>
        </w:tc>
        <w:tc>
          <w:tcPr>
            <w:tcW w:type="dxa" w:w="1871"/>
            <w:tcBorders>
              <w:top w:val="single" w:sz="4" w:color="D9D9D9"/>
              <w:left w:val="single" w:sz="4" w:color="D9D9D9"/>
              <w:bottom w:val="single" w:sz="4" w:color="D9D9D9"/>
              <w:right w:val="single" w:sz="4" w:color="D9D9D9"/>
            </w:tcBorders>
            <w:shd w:fill="F5F7F9"/>
          </w:tcPr>
          <w:p>
            <w:pPr>
              <w:spacing w:after="100" w:before="100"/>
            </w:pPr>
            <w:r>
              <w:rPr>
                <w:b w:val="0"/>
                <w:sz w:val="18"/>
              </w:rPr>
              <w:t>0.528791</w:t>
            </w:r>
          </w:p>
        </w:tc>
        <w:tc>
          <w:tcPr>
            <w:tcW w:type="dxa" w:w="1984"/>
            <w:tcBorders>
              <w:top w:val="single" w:sz="4" w:color="D9D9D9"/>
              <w:left w:val="single" w:sz="4" w:color="D9D9D9"/>
              <w:bottom w:val="single" w:sz="4" w:color="D9D9D9"/>
              <w:right w:val="single" w:sz="4" w:color="D9D9D9"/>
            </w:tcBorders>
            <w:shd w:fill="F5F7F9"/>
          </w:tcPr>
          <w:p>
            <w:pPr>
              <w:spacing w:after="100" w:before="100"/>
            </w:pPr>
            <w:r>
              <w:rPr>
                <w:b w:val="0"/>
                <w:sz w:val="18"/>
              </w:rPr>
              <w:t>1.000000</w:t>
            </w:r>
          </w:p>
        </w:tc>
        <w:tc>
          <w:tcPr>
            <w:tcW w:type="dxa" w:w="1984"/>
            <w:tcBorders>
              <w:top w:val="single" w:sz="4" w:color="D9D9D9"/>
              <w:left w:val="single" w:sz="4" w:color="D9D9D9"/>
              <w:bottom w:val="single" w:sz="4" w:color="D9D9D9"/>
              <w:right w:val="single" w:sz="4" w:color="D9D9D9"/>
            </w:tcBorders>
            <w:shd w:fill="F5F7F9"/>
          </w:tcPr>
          <w:p>
            <w:pPr>
              <w:spacing w:after="100" w:before="100"/>
            </w:pPr>
            <w:r>
              <w:rPr>
                <w:b w:val="0"/>
                <w:sz w:val="18"/>
              </w:rPr>
              <w:t>12.037500</w:t>
            </w:r>
          </w:p>
        </w:tc>
      </w:tr>
      <w:tr>
        <w:trPr>
          <w:cantSplit/>
        </w:trPr>
        <w:tc>
          <w:tcPr>
            <w:tcW w:type="dxa" w:w="3685"/>
            <w:tcBorders>
              <w:top w:val="single" w:sz="4" w:color="D9D9D9"/>
              <w:left w:val="single" w:sz="4" w:color="D9D9D9"/>
              <w:bottom w:val="single" w:sz="4" w:color="D9D9D9"/>
              <w:right w:val="single" w:sz="4" w:color="D9D9D9"/>
            </w:tcBorders>
            <w:shd w:fill="FFFFFF"/>
          </w:tcPr>
          <w:p>
            <w:pPr>
              <w:spacing w:after="100" w:before="100"/>
            </w:pPr>
            <w:r>
              <w:rPr>
                <w:b w:val="0"/>
                <w:sz w:val="18"/>
              </w:rPr>
              <w:t>无约束MC-EIR</w:t>
            </w:r>
          </w:p>
        </w:tc>
        <w:tc>
          <w:tcPr>
            <w:tcW w:type="dxa" w:w="1871"/>
            <w:tcBorders>
              <w:top w:val="single" w:sz="4" w:color="D9D9D9"/>
              <w:left w:val="single" w:sz="4" w:color="D9D9D9"/>
              <w:bottom w:val="single" w:sz="4" w:color="D9D9D9"/>
              <w:right w:val="single" w:sz="4" w:color="D9D9D9"/>
            </w:tcBorders>
            <w:shd w:fill="FFFFFF"/>
          </w:tcPr>
          <w:p>
            <w:pPr>
              <w:spacing w:after="100" w:before="100"/>
            </w:pPr>
            <w:r>
              <w:rPr>
                <w:b w:val="0"/>
                <w:sz w:val="18"/>
              </w:rPr>
              <w:t>0.528761</w:t>
            </w:r>
          </w:p>
        </w:tc>
        <w:tc>
          <w:tcPr>
            <w:tcW w:type="dxa" w:w="1984"/>
            <w:tcBorders>
              <w:top w:val="single" w:sz="4" w:color="D9D9D9"/>
              <w:left w:val="single" w:sz="4" w:color="D9D9D9"/>
              <w:bottom w:val="single" w:sz="4" w:color="D9D9D9"/>
              <w:right w:val="single" w:sz="4" w:color="D9D9D9"/>
            </w:tcBorders>
            <w:shd w:fill="FFFFFF"/>
          </w:tcPr>
          <w:p>
            <w:pPr>
              <w:spacing w:after="100" w:before="100"/>
            </w:pPr>
            <w:r>
              <w:rPr>
                <w:b w:val="0"/>
                <w:sz w:val="18"/>
              </w:rPr>
              <w:t>0.000000</w:t>
            </w:r>
          </w:p>
        </w:tc>
        <w:tc>
          <w:tcPr>
            <w:tcW w:type="dxa" w:w="1984"/>
            <w:tcBorders>
              <w:top w:val="single" w:sz="4" w:color="D9D9D9"/>
              <w:left w:val="single" w:sz="4" w:color="D9D9D9"/>
              <w:bottom w:val="single" w:sz="4" w:color="D9D9D9"/>
              <w:right w:val="single" w:sz="4" w:color="D9D9D9"/>
            </w:tcBorders>
            <w:shd w:fill="FFFFFF"/>
          </w:tcPr>
          <w:p>
            <w:pPr>
              <w:spacing w:after="100" w:before="100"/>
            </w:pPr>
            <w:r>
              <w:rPr>
                <w:b w:val="0"/>
                <w:sz w:val="18"/>
              </w:rPr>
              <w:t>12.060000</w:t>
            </w:r>
          </w:p>
        </w:tc>
      </w:tr>
    </w:tbl>
    <w:p>
      <w:pPr>
        <w:spacing w:after="20"/>
      </w:pPr>
    </w:p>
    <w:p>
      <w:r>
        <w:t>无约束参照误差稍低却均不满足原情景约束，约束版本的误差增量分别约0.000077和0.000030℃。这只能量化当前复合情景的代价，不能分离纯海冰贡献，也不能代替软惩罚、平均限制与逐点硬限制的比较。不可行布局的任务能耗保持不可用。</w:t>
      </w:r>
    </w:p>
    <w:p>
      <w:pPr>
        <w:keepNext/>
        <w:jc w:val="center"/>
      </w:pPr>
      <w:r>
        <w:drawing>
          <wp:inline xmlns:a="http://schemas.openxmlformats.org/drawingml/2006/main" xmlns:pic="http://schemas.openxmlformats.org/drawingml/2006/picture">
            <wp:extent cx="6048000" cy="2510627"/>
            <wp:docPr id="4" name="Picture 4"/>
            <wp:cNvGraphicFramePr>
              <a:graphicFrameLocks noChangeAspect="1"/>
            </wp:cNvGraphicFramePr>
            <a:graphic>
              <a:graphicData uri="http://schemas.openxmlformats.org/drawingml/2006/picture">
                <pic:pic>
                  <pic:nvPicPr>
                    <pic:cNvPr id="0" name="accuracy_cost.png"/>
                    <pic:cNvPicPr/>
                  </pic:nvPicPr>
                  <pic:blipFill>
                    <a:blip r:embed="rId14"/>
                    <a:stretch>
                      <a:fillRect/>
                    </a:stretch>
                  </pic:blipFill>
                  <pic:spPr>
                    <a:xfrm>
                      <a:off x="0" y="0"/>
                      <a:ext cx="6048000" cy="2510627"/>
                    </a:xfrm>
                    <a:prstGeom prst="rect"/>
                  </pic:spPr>
                </pic:pic>
              </a:graphicData>
            </a:graphic>
          </wp:inline>
        </w:drawing>
      </w:r>
    </w:p>
    <w:p>
      <w:pPr>
        <w:pStyle w:val="Caption"/>
        <w:keepNext/>
        <w:jc w:val="center"/>
      </w:pPr>
      <w:r>
        <w:t>图4 已有约束精度与资源权衡</w:t>
      </w:r>
    </w:p>
    <w:p>
      <w:r>
        <w:t>图4来源：原约束及无约束参照。工程成本和能耗使用情景参数，尚无实测设备依据。</w:t>
      </w:r>
    </w:p>
    <w:p>
      <w:pPr>
        <w:pStyle w:val="Heading2"/>
      </w:pPr>
      <w:r>
        <w:t>5.3 重构器依赖与RBMF机制</w:t>
      </w:r>
    </w:p>
    <w:p>
      <w:r>
        <w:t>2013全年、全部预算平均的Gaussian RMSE：月气候态0.457304℃、原RBMF0.456787℃、联合因子0.456764℃、Ridge0.388969℃、LASSO0.402783℃、SBL0.415612℃。这些与上文2014最大预算均值属于不同汇总条件，不能并作同一排名表。</w:t>
      </w:r>
    </w:p>
    <w:p>
      <w:pPr>
        <w:keepNext/>
        <w:jc w:val="center"/>
      </w:pPr>
      <w:r>
        <w:drawing>
          <wp:inline xmlns:a="http://schemas.openxmlformats.org/drawingml/2006/main" xmlns:pic="http://schemas.openxmlformats.org/drawingml/2006/picture">
            <wp:extent cx="6048000" cy="2268000"/>
            <wp:docPr id="5" name="Picture 5"/>
            <wp:cNvGraphicFramePr>
              <a:graphicFrameLocks noChangeAspect="1"/>
            </wp:cNvGraphicFramePr>
            <a:graphic>
              <a:graphicData uri="http://schemas.openxmlformats.org/drawingml/2006/picture">
                <pic:pic>
                  <pic:nvPicPr>
                    <pic:cNvPr id="0" name="budget_comparison.png"/>
                    <pic:cNvPicPr/>
                  </pic:nvPicPr>
                  <pic:blipFill>
                    <a:blip r:embed="rId15"/>
                    <a:stretch>
                      <a:fillRect/>
                    </a:stretch>
                  </pic:blipFill>
                  <pic:spPr>
                    <a:xfrm>
                      <a:off x="0" y="0"/>
                      <a:ext cx="6048000" cy="2268000"/>
                    </a:xfrm>
                    <a:prstGeom prst="rect"/>
                  </pic:spPr>
                </pic:pic>
              </a:graphicData>
            </a:graphic>
          </wp:inline>
        </w:drawing>
      </w:r>
    </w:p>
    <w:p>
      <w:pPr>
        <w:pStyle w:val="Caption"/>
        <w:keepNext/>
        <w:jc w:val="center"/>
      </w:pPr>
      <w:r>
        <w:t>图5 结构诊断与强基线预算比较</w:t>
      </w:r>
    </w:p>
    <w:p>
      <w:r>
        <w:t>图5来源：2013开发验证结构诊断。联合候选Gaussian相对气候态改善仅0.1182%，4→12节点改善0.0894%；Ridge分别为14.9431%和21.7570%。联合候选不通过预设5%和2%门槛，不提升为正式方法。</w:t>
      </w:r>
    </w:p>
    <w:p>
      <w:r>
        <w:t>原RBMF冻结因子的系数有效自由度约0.073，rho约0.0008；首观测增加0.02℃后完整重拟合场RMS变化平均约0.0000152℃。联合因子仍保持弱响应。条件解析及低维数值参考区分了兼容目标收缩与均场近似误差；没有找到单独改变停止或α–ρ相关性就能解决的依据。该机制解释支持更换主评价器，但尚未完成策略×重构器的全交叉验证。</w:t>
      </w:r>
    </w:p>
    <w:p>
      <w:pPr>
        <w:pStyle w:val="Heading2"/>
      </w:pPr>
      <w:r>
        <w:t>5.4 CLBR部分改善与不确定性边界</w:t>
      </w:r>
    </w:p>
    <w:p>
      <w:r>
        <w:t>CLBR在2013季度嵌套开发评价中的Gaussian RMSE为0.393560℃，Ridge为0.388969℃；CLBR高约1.180%，仅5/12个月优于Ridge，未达到至少5%改善及8/12个月改善门槛。相对自身无观测预测，12节点在线更新场RMS变化约0.19353℃，说明在线贡献恢复，但不能由此推出超过强基线。</w:t>
      </w:r>
    </w:p>
    <w:p>
      <w:pPr>
        <w:keepNext/>
        <w:jc w:val="center"/>
      </w:pPr>
      <w:r>
        <w:drawing>
          <wp:inline xmlns:a="http://schemas.openxmlformats.org/drawingml/2006/main" xmlns:pic="http://schemas.openxmlformats.org/drawingml/2006/picture">
            <wp:extent cx="6048000" cy="2217600"/>
            <wp:docPr id="6" name="Picture 6"/>
            <wp:cNvGraphicFramePr>
              <a:graphicFrameLocks noChangeAspect="1"/>
            </wp:cNvGraphicFramePr>
            <a:graphic>
              <a:graphicData uri="http://schemas.openxmlformats.org/drawingml/2006/picture">
                <pic:pic>
                  <pic:nvPicPr>
                    <pic:cNvPr id="0" name="budget_rmse.png"/>
                    <pic:cNvPicPr/>
                  </pic:nvPicPr>
                  <pic:blipFill>
                    <a:blip r:embed="rId16"/>
                    <a:stretch>
                      <a:fillRect/>
                    </a:stretch>
                  </pic:blipFill>
                  <pic:spPr>
                    <a:xfrm>
                      <a:off x="0" y="0"/>
                      <a:ext cx="6048000" cy="2217600"/>
                    </a:xfrm>
                    <a:prstGeom prst="rect"/>
                  </pic:spPr>
                </pic:pic>
              </a:graphicData>
            </a:graphic>
          </wp:inline>
        </w:drawing>
      </w:r>
    </w:p>
    <w:p>
      <w:pPr>
        <w:pStyle w:val="Caption"/>
        <w:keepNext/>
        <w:jc w:val="center"/>
      </w:pPr>
      <w:r>
        <w:t>图6 CLBR与基线的预算误差</w:t>
      </w:r>
    </w:p>
    <w:p>
      <w:r>
        <w:t>图6来源：2013嵌套开发结果。冻结Ridge与严格折外Ridge最终选参相同，曲线重叠属于结果一致，不是遗漏方法。</w:t>
      </w:r>
    </w:p>
    <w:p>
      <w:pPr>
        <w:keepNext/>
        <w:jc w:val="center"/>
      </w:pPr>
      <w:r>
        <w:drawing>
          <wp:inline xmlns:a="http://schemas.openxmlformats.org/drawingml/2006/main" xmlns:pic="http://schemas.openxmlformats.org/drawingml/2006/picture">
            <wp:extent cx="4500000" cy="3600000"/>
            <wp:docPr id="7" name="Picture 7"/>
            <wp:cNvGraphicFramePr>
              <a:graphicFrameLocks noChangeAspect="1"/>
            </wp:cNvGraphicFramePr>
            <a:graphic>
              <a:graphicData uri="http://schemas.openxmlformats.org/drawingml/2006/picture">
                <pic:pic>
                  <pic:nvPicPr>
                    <pic:cNvPr id="0" name="coverage.png"/>
                    <pic:cNvPicPr/>
                  </pic:nvPicPr>
                  <pic:blipFill>
                    <a:blip r:embed="rId17"/>
                    <a:stretch>
                      <a:fillRect/>
                    </a:stretch>
                  </pic:blipFill>
                  <pic:spPr>
                    <a:xfrm>
                      <a:off x="0" y="0"/>
                      <a:ext cx="4500000" cy="3600000"/>
                    </a:xfrm>
                    <a:prstGeom prst="rect"/>
                  </pic:spPr>
                </pic:pic>
              </a:graphicData>
            </a:graphic>
          </wp:inline>
        </w:drawing>
      </w:r>
    </w:p>
    <w:p>
      <w:pPr>
        <w:pStyle w:val="Caption"/>
        <w:keepNext/>
        <w:jc w:val="center"/>
      </w:pPr>
      <w:r>
        <w:t>图7 CLBR覆盖率比较</w:t>
      </w:r>
    </w:p>
    <w:p>
      <w:r>
        <w:t>图7来源：边际潜在场及未来模拟观测区间。Gaussian潜在场经验CLBR的50/80/90/95%覆盖为52.25/81.95/91.35/96.04%，90%宽度1.3333℃；Ridge常宽区间对应50.22/79.79/89.41/94.65%，宽度1.2681℃。覆盖达标仍须结合宽度与评分。</w:t>
      </w:r>
    </w:p>
    <w:p>
      <w:pPr>
        <w:keepNext/>
        <w:jc w:val="center"/>
      </w:pPr>
      <w:r>
        <w:drawing>
          <wp:inline xmlns:a="http://schemas.openxmlformats.org/drawingml/2006/main" xmlns:pic="http://schemas.openxmlformats.org/drawingml/2006/picture">
            <wp:extent cx="4500000" cy="3600000"/>
            <wp:docPr id="8" name="Picture 8"/>
            <wp:cNvGraphicFramePr>
              <a:graphicFrameLocks noChangeAspect="1"/>
            </wp:cNvGraphicFramePr>
            <a:graphic>
              <a:graphicData uri="http://schemas.openxmlformats.org/drawingml/2006/picture">
                <pic:pic>
                  <pic:nvPicPr>
                    <pic:cNvPr id="0" name="interval_wis.png"/>
                    <pic:cNvPicPr/>
                  </pic:nvPicPr>
                  <pic:blipFill>
                    <a:blip r:embed="rId18"/>
                    <a:stretch>
                      <a:fillRect/>
                    </a:stretch>
                  </pic:blipFill>
                  <pic:spPr>
                    <a:xfrm>
                      <a:off x="0" y="0"/>
                      <a:ext cx="4500000" cy="3600000"/>
                    </a:xfrm>
                    <a:prstGeom prst="rect"/>
                  </pic:spPr>
                </pic:pic>
              </a:graphicData>
            </a:graphic>
          </wp:inline>
        </w:drawing>
      </w:r>
    </w:p>
    <w:p>
      <w:pPr>
        <w:pStyle w:val="Caption"/>
        <w:keepNext/>
        <w:jc w:val="center"/>
      </w:pPr>
      <w:r>
        <w:t>图8 CLBR区间评分与预算</w:t>
      </w:r>
    </w:p>
    <w:p>
      <w:r>
        <w:t>图8来源：WIS预算曲线。经验CLBR各场景与目标的WIS改善约1.78%–2.57%，低于5%，且只有6/12个月改善，未通过完整区间验收。经验残差校准没有产生真实传感器或全场同时覆盖保证；条件后验也未传播全部参数和基底学习不确定性。</w:t>
      </w:r>
    </w:p>
    <w:p>
      <w:pPr>
        <w:pStyle w:val="Heading2"/>
      </w:pPr>
      <w:r>
        <w:t>5.5 适用范围及补全优先级</w:t>
      </w:r>
    </w:p>
    <w:p>
      <w:r>
        <w:t>现有结果来自格点参考场模拟采样、单一主要区域和50 m温度，包含产品同化依赖、设备参数假设、开发数据反复暴露和有限时间样本。不能推广为完整海洋多参数监测系统，也不能凭当前全可行率声称长期实海部署安全。若新约束方法未优于强基线，应报告适用条件或停止提升贡献，保留全部对照与失败。</w:t>
      </w:r>
    </w:p>
    <w:tbl>
      <w:tblPr>
        <w:tblW w:type="auto" w:w="0"/>
        <w:tblLayout w:type="fixed"/>
        <w:tblLook w:firstColumn="1" w:firstRow="1" w:lastColumn="0" w:lastRow="0" w:noHBand="0" w:noVBand="1" w:val="04A0"/>
      </w:tblPr>
      <w:tblGrid>
        <w:gridCol w:w="3175"/>
        <w:gridCol w:w="3175"/>
        <w:gridCol w:w="3175"/>
      </w:tblGrid>
      <w:tr>
        <w:trPr>
          <w:cantSplit/>
          <w:tblHeader/>
        </w:trPr>
        <w:tc>
          <w:tcPr>
            <w:tcW w:type="dxa" w:w="3005"/>
            <w:tcBorders>
              <w:top w:val="single" w:sz="4" w:color="D9D9D9"/>
              <w:left w:val="single" w:sz="4" w:color="D9D9D9"/>
              <w:bottom w:val="single" w:sz="4" w:color="D9D9D9"/>
              <w:right w:val="single" w:sz="4" w:color="D9D9D9"/>
            </w:tcBorders>
            <w:shd w:fill="E8EEF3"/>
          </w:tcPr>
          <w:p>
            <w:pPr>
              <w:spacing w:after="100" w:before="100"/>
            </w:pPr>
            <w:r>
              <w:rPr>
                <w:b/>
                <w:sz w:val="18"/>
              </w:rPr>
              <w:t>优先级</w:t>
            </w:r>
          </w:p>
        </w:tc>
        <w:tc>
          <w:tcPr>
            <w:tcW w:type="dxa" w:w="3288"/>
            <w:tcBorders>
              <w:top w:val="single" w:sz="4" w:color="D9D9D9"/>
              <w:left w:val="single" w:sz="4" w:color="D9D9D9"/>
              <w:bottom w:val="single" w:sz="4" w:color="D9D9D9"/>
              <w:right w:val="single" w:sz="4" w:color="D9D9D9"/>
            </w:tcBorders>
            <w:shd w:fill="E8EEF3"/>
          </w:tcPr>
          <w:p>
            <w:pPr>
              <w:spacing w:after="100" w:before="100"/>
            </w:pPr>
            <w:r>
              <w:rPr>
                <w:b/>
                <w:sz w:val="18"/>
              </w:rPr>
              <w:t>补充工作</w:t>
            </w:r>
          </w:p>
        </w:tc>
        <w:tc>
          <w:tcPr>
            <w:tcW w:type="dxa" w:w="3231"/>
            <w:tcBorders>
              <w:top w:val="single" w:sz="4" w:color="D9D9D9"/>
              <w:left w:val="single" w:sz="4" w:color="D9D9D9"/>
              <w:bottom w:val="single" w:sz="4" w:color="D9D9D9"/>
              <w:right w:val="single" w:sz="4" w:color="D9D9D9"/>
            </w:tcBorders>
            <w:shd w:fill="E8EEF3"/>
          </w:tcPr>
          <w:p>
            <w:pPr>
              <w:spacing w:after="100" w:before="100"/>
            </w:pPr>
            <w:r>
              <w:rPr>
                <w:b/>
                <w:sz w:val="18"/>
              </w:rPr>
              <w:t>形成证据</w:t>
            </w:r>
          </w:p>
        </w:tc>
      </w:tr>
      <w:tr>
        <w:trPr>
          <w:cantSplit/>
        </w:trPr>
        <w:tc>
          <w:tcPr>
            <w:tcW w:type="dxa" w:w="3005"/>
            <w:tcBorders>
              <w:top w:val="single" w:sz="4" w:color="D9D9D9"/>
              <w:left w:val="single" w:sz="4" w:color="D9D9D9"/>
              <w:bottom w:val="single" w:sz="4" w:color="D9D9D9"/>
              <w:right w:val="single" w:sz="4" w:color="D9D9D9"/>
            </w:tcBorders>
            <w:shd w:fill="F5F7F9"/>
          </w:tcPr>
          <w:p>
            <w:pPr>
              <w:spacing w:after="100" w:before="100"/>
            </w:pPr>
            <w:r>
              <w:rPr>
                <w:b w:val="0"/>
                <w:sz w:val="18"/>
              </w:rPr>
              <w:t>必须</w:t>
            </w:r>
          </w:p>
        </w:tc>
        <w:tc>
          <w:tcPr>
            <w:tcW w:type="dxa" w:w="3288"/>
            <w:tcBorders>
              <w:top w:val="single" w:sz="4" w:color="D9D9D9"/>
              <w:left w:val="single" w:sz="4" w:color="D9D9D9"/>
              <w:bottom w:val="single" w:sz="4" w:color="D9D9D9"/>
              <w:right w:val="single" w:sz="4" w:color="D9D9D9"/>
            </w:tcBorders>
            <w:shd w:fill="F5F7F9"/>
          </w:tcPr>
          <w:p>
            <w:pPr>
              <w:spacing w:after="100" w:before="100"/>
            </w:pPr>
            <w:r>
              <w:rPr>
                <w:b w:val="0"/>
                <w:sz w:val="18"/>
              </w:rPr>
              <w:t>平台架构和约束语义核对</w:t>
            </w:r>
          </w:p>
        </w:tc>
        <w:tc>
          <w:tcPr>
            <w:tcW w:type="dxa" w:w="3231"/>
            <w:tcBorders>
              <w:top w:val="single" w:sz="4" w:color="D9D9D9"/>
              <w:left w:val="single" w:sz="4" w:color="D9D9D9"/>
              <w:bottom w:val="single" w:sz="4" w:color="D9D9D9"/>
              <w:right w:val="single" w:sz="4" w:color="D9D9D9"/>
            </w:tcBorders>
            <w:shd w:fill="F5F7F9"/>
          </w:tcPr>
          <w:p>
            <w:pPr>
              <w:spacing w:after="100" w:before="100"/>
            </w:pPr>
            <w:r>
              <w:rPr>
                <w:b w:val="0"/>
                <w:sz w:val="18"/>
              </w:rPr>
              <w:t>优化问题对应实际站位任务</w:t>
            </w:r>
          </w:p>
        </w:tc>
      </w:tr>
      <w:tr>
        <w:trPr>
          <w:cantSplit/>
        </w:trPr>
        <w:tc>
          <w:tcPr>
            <w:tcW w:type="dxa" w:w="3005"/>
            <w:tcBorders>
              <w:top w:val="single" w:sz="4" w:color="D9D9D9"/>
              <w:left w:val="single" w:sz="4" w:color="D9D9D9"/>
              <w:bottom w:val="single" w:sz="4" w:color="D9D9D9"/>
              <w:right w:val="single" w:sz="4" w:color="D9D9D9"/>
            </w:tcBorders>
            <w:shd w:fill="FFFFFF"/>
          </w:tcPr>
          <w:p>
            <w:pPr>
              <w:spacing w:after="100" w:before="100"/>
            </w:pPr>
            <w:r>
              <w:rPr>
                <w:b w:val="0"/>
                <w:sz w:val="18"/>
              </w:rPr>
              <w:t>必须</w:t>
            </w:r>
          </w:p>
        </w:tc>
        <w:tc>
          <w:tcPr>
            <w:tcW w:type="dxa" w:w="3288"/>
            <w:tcBorders>
              <w:top w:val="single" w:sz="4" w:color="D9D9D9"/>
              <w:left w:val="single" w:sz="4" w:color="D9D9D9"/>
              <w:bottom w:val="single" w:sz="4" w:color="D9D9D9"/>
              <w:right w:val="single" w:sz="4" w:color="D9D9D9"/>
            </w:tcBorders>
            <w:shd w:fill="FFFFFF"/>
          </w:tcPr>
          <w:p>
            <w:pPr>
              <w:spacing w:after="100" w:before="100"/>
            </w:pPr>
            <w:r>
              <w:rPr>
                <w:b w:val="0"/>
                <w:sz w:val="18"/>
              </w:rPr>
              <w:t>软惩罚、平均限制、逐点硬限制同条件比较</w:t>
            </w:r>
          </w:p>
        </w:tc>
        <w:tc>
          <w:tcPr>
            <w:tcW w:type="dxa" w:w="3231"/>
            <w:tcBorders>
              <w:top w:val="single" w:sz="4" w:color="D9D9D9"/>
              <w:left w:val="single" w:sz="4" w:color="D9D9D9"/>
              <w:bottom w:val="single" w:sz="4" w:color="D9D9D9"/>
              <w:right w:val="single" w:sz="4" w:color="D9D9D9"/>
            </w:tcBorders>
            <w:shd w:fill="FFFFFF"/>
          </w:tcPr>
          <w:p>
            <w:pPr>
              <w:spacing w:after="100" w:before="100"/>
            </w:pPr>
            <w:r>
              <w:rPr>
                <w:b w:val="0"/>
                <w:sz w:val="18"/>
              </w:rPr>
              <w:t>分离海冰贡献与单节点违规</w:t>
            </w:r>
          </w:p>
        </w:tc>
      </w:tr>
      <w:tr>
        <w:trPr>
          <w:cantSplit/>
        </w:trPr>
        <w:tc>
          <w:tcPr>
            <w:tcW w:type="dxa" w:w="3005"/>
            <w:tcBorders>
              <w:top w:val="single" w:sz="4" w:color="D9D9D9"/>
              <w:left w:val="single" w:sz="4" w:color="D9D9D9"/>
              <w:bottom w:val="single" w:sz="4" w:color="D9D9D9"/>
              <w:right w:val="single" w:sz="4" w:color="D9D9D9"/>
            </w:tcBorders>
            <w:shd w:fill="F5F7F9"/>
          </w:tcPr>
          <w:p>
            <w:pPr>
              <w:spacing w:after="100" w:before="100"/>
            </w:pPr>
            <w:r>
              <w:rPr>
                <w:b w:val="0"/>
                <w:sz w:val="18"/>
              </w:rPr>
              <w:t>必须</w:t>
            </w:r>
          </w:p>
        </w:tc>
        <w:tc>
          <w:tcPr>
            <w:tcW w:type="dxa" w:w="3288"/>
            <w:tcBorders>
              <w:top w:val="single" w:sz="4" w:color="D9D9D9"/>
              <w:left w:val="single" w:sz="4" w:color="D9D9D9"/>
              <w:bottom w:val="single" w:sz="4" w:color="D9D9D9"/>
              <w:right w:val="single" w:sz="4" w:color="D9D9D9"/>
            </w:tcBorders>
            <w:shd w:fill="F5F7F9"/>
          </w:tcPr>
          <w:p>
            <w:pPr>
              <w:spacing w:after="100" w:before="100"/>
            </w:pPr>
            <w:r>
              <w:rPr>
                <w:b w:val="0"/>
                <w:sz w:val="18"/>
              </w:rPr>
              <w:t>策略布局交给Ridge、LASSO、SBL评价</w:t>
            </w:r>
          </w:p>
        </w:tc>
        <w:tc>
          <w:tcPr>
            <w:tcW w:type="dxa" w:w="3231"/>
            <w:tcBorders>
              <w:top w:val="single" w:sz="4" w:color="D9D9D9"/>
              <w:left w:val="single" w:sz="4" w:color="D9D9D9"/>
              <w:bottom w:val="single" w:sz="4" w:color="D9D9D9"/>
              <w:right w:val="single" w:sz="4" w:color="D9D9D9"/>
            </w:tcBorders>
            <w:shd w:fill="F5F7F9"/>
          </w:tcPr>
          <w:p>
            <w:pPr>
              <w:spacing w:after="100" w:before="100"/>
            </w:pPr>
            <w:r>
              <w:rPr>
                <w:b w:val="0"/>
                <w:sz w:val="18"/>
              </w:rPr>
              <w:t>识别部署效应及重构器交互</w:t>
            </w:r>
          </w:p>
        </w:tc>
      </w:tr>
      <w:tr>
        <w:trPr>
          <w:cantSplit/>
        </w:trPr>
        <w:tc>
          <w:tcPr>
            <w:tcW w:type="dxa" w:w="3005"/>
            <w:tcBorders>
              <w:top w:val="single" w:sz="4" w:color="D9D9D9"/>
              <w:left w:val="single" w:sz="4" w:color="D9D9D9"/>
              <w:bottom w:val="single" w:sz="4" w:color="D9D9D9"/>
              <w:right w:val="single" w:sz="4" w:color="D9D9D9"/>
            </w:tcBorders>
            <w:shd w:fill="FFFFFF"/>
          </w:tcPr>
          <w:p>
            <w:pPr>
              <w:spacing w:after="100" w:before="100"/>
            </w:pPr>
            <w:r>
              <w:rPr>
                <w:b w:val="0"/>
                <w:sz w:val="18"/>
              </w:rPr>
              <w:t>必须</w:t>
            </w:r>
          </w:p>
        </w:tc>
        <w:tc>
          <w:tcPr>
            <w:tcW w:type="dxa" w:w="3288"/>
            <w:tcBorders>
              <w:top w:val="single" w:sz="4" w:color="D9D9D9"/>
              <w:left w:val="single" w:sz="4" w:color="D9D9D9"/>
              <w:bottom w:val="single" w:sz="4" w:color="D9D9D9"/>
              <w:right w:val="single" w:sz="4" w:color="D9D9D9"/>
            </w:tcBorders>
            <w:shd w:fill="FFFFFF"/>
          </w:tcPr>
          <w:p>
            <w:pPr>
              <w:spacing w:after="100" w:before="100"/>
            </w:pPr>
            <w:r>
              <w:rPr>
                <w:b w:val="0"/>
                <w:sz w:val="18"/>
              </w:rPr>
              <w:t>固定布局的跨时间评价</w:t>
            </w:r>
          </w:p>
        </w:tc>
        <w:tc>
          <w:tcPr>
            <w:tcW w:type="dxa" w:w="3231"/>
            <w:tcBorders>
              <w:top w:val="single" w:sz="4" w:color="D9D9D9"/>
              <w:left w:val="single" w:sz="4" w:color="D9D9D9"/>
              <w:bottom w:val="single" w:sz="4" w:color="D9D9D9"/>
              <w:right w:val="single" w:sz="4" w:color="D9D9D9"/>
            </w:tcBorders>
            <w:shd w:fill="FFFFFF"/>
          </w:tcPr>
          <w:p>
            <w:pPr>
              <w:spacing w:after="100" w:before="100"/>
            </w:pPr>
            <w:r>
              <w:rPr>
                <w:b w:val="0"/>
                <w:sz w:val="18"/>
              </w:rPr>
              <w:t>检验任务期稳定性</w:t>
            </w:r>
          </w:p>
        </w:tc>
      </w:tr>
      <w:tr>
        <w:trPr>
          <w:cantSplit/>
        </w:trPr>
        <w:tc>
          <w:tcPr>
            <w:tcW w:type="dxa" w:w="3005"/>
            <w:tcBorders>
              <w:top w:val="single" w:sz="4" w:color="D9D9D9"/>
              <w:left w:val="single" w:sz="4" w:color="D9D9D9"/>
              <w:bottom w:val="single" w:sz="4" w:color="D9D9D9"/>
              <w:right w:val="single" w:sz="4" w:color="D9D9D9"/>
            </w:tcBorders>
            <w:shd w:fill="F5F7F9"/>
          </w:tcPr>
          <w:p>
            <w:pPr>
              <w:spacing w:after="100" w:before="100"/>
            </w:pPr>
            <w:r>
              <w:rPr>
                <w:b w:val="0"/>
                <w:sz w:val="18"/>
              </w:rPr>
              <w:t>优先</w:t>
            </w:r>
          </w:p>
        </w:tc>
        <w:tc>
          <w:tcPr>
            <w:tcW w:type="dxa" w:w="3288"/>
            <w:tcBorders>
              <w:top w:val="single" w:sz="4" w:color="D9D9D9"/>
              <w:left w:val="single" w:sz="4" w:color="D9D9D9"/>
              <w:bottom w:val="single" w:sz="4" w:color="D9D9D9"/>
              <w:right w:val="single" w:sz="4" w:color="D9D9D9"/>
            </w:tcBorders>
            <w:shd w:fill="F5F7F9"/>
          </w:tcPr>
          <w:p>
            <w:pPr>
              <w:spacing w:after="100" w:before="100"/>
            </w:pPr>
            <w:r>
              <w:rPr>
                <w:b w:val="0"/>
                <w:sz w:val="18"/>
              </w:rPr>
              <w:t>盐度与同站位温盐评价</w:t>
            </w:r>
          </w:p>
        </w:tc>
        <w:tc>
          <w:tcPr>
            <w:tcW w:type="dxa" w:w="3231"/>
            <w:tcBorders>
              <w:top w:val="single" w:sz="4" w:color="D9D9D9"/>
              <w:left w:val="single" w:sz="4" w:color="D9D9D9"/>
              <w:bottom w:val="single" w:sz="4" w:color="D9D9D9"/>
              <w:right w:val="single" w:sz="4" w:color="D9D9D9"/>
            </w:tcBorders>
            <w:shd w:fill="F5F7F9"/>
          </w:tcPr>
          <w:p>
            <w:pPr>
              <w:spacing w:after="100" w:before="100"/>
            </w:pPr>
            <w:r>
              <w:rPr>
                <w:b w:val="0"/>
                <w:sz w:val="18"/>
              </w:rPr>
              <w:t>支撑多变量适用性</w:t>
            </w:r>
          </w:p>
        </w:tc>
      </w:tr>
      <w:tr>
        <w:trPr>
          <w:cantSplit/>
        </w:trPr>
        <w:tc>
          <w:tcPr>
            <w:tcW w:type="dxa" w:w="3005"/>
            <w:tcBorders>
              <w:top w:val="single" w:sz="4" w:color="D9D9D9"/>
              <w:left w:val="single" w:sz="4" w:color="D9D9D9"/>
              <w:bottom w:val="single" w:sz="4" w:color="D9D9D9"/>
              <w:right w:val="single" w:sz="4" w:color="D9D9D9"/>
            </w:tcBorders>
            <w:shd w:fill="FFFFFF"/>
          </w:tcPr>
          <w:p>
            <w:pPr>
              <w:spacing w:after="100" w:before="100"/>
            </w:pPr>
            <w:r>
              <w:rPr>
                <w:b w:val="0"/>
                <w:sz w:val="18"/>
              </w:rPr>
              <w:t>条件具备后</w:t>
            </w:r>
          </w:p>
        </w:tc>
        <w:tc>
          <w:tcPr>
            <w:tcW w:type="dxa" w:w="3288"/>
            <w:tcBorders>
              <w:top w:val="single" w:sz="4" w:color="D9D9D9"/>
              <w:left w:val="single" w:sz="4" w:color="D9D9D9"/>
              <w:bottom w:val="single" w:sz="4" w:color="D9D9D9"/>
              <w:right w:val="single" w:sz="4" w:color="D9D9D9"/>
            </w:tcBorders>
            <w:shd w:fill="FFFFFF"/>
          </w:tcPr>
          <w:p>
            <w:pPr>
              <w:spacing w:after="100" w:before="100"/>
            </w:pPr>
            <w:r>
              <w:rPr>
                <w:b w:val="0"/>
                <w:sz w:val="18"/>
              </w:rPr>
              <w:t>实测设备及独立点观测</w:t>
            </w:r>
          </w:p>
        </w:tc>
        <w:tc>
          <w:tcPr>
            <w:tcW w:type="dxa" w:w="3231"/>
            <w:tcBorders>
              <w:top w:val="single" w:sz="4" w:color="D9D9D9"/>
              <w:left w:val="single" w:sz="4" w:color="D9D9D9"/>
              <w:bottom w:val="single" w:sz="4" w:color="D9D9D9"/>
              <w:right w:val="single" w:sz="4" w:color="D9D9D9"/>
            </w:tcBorders>
            <w:shd w:fill="FFFFFF"/>
          </w:tcPr>
          <w:p>
            <w:pPr>
              <w:spacing w:after="100" w:before="100"/>
            </w:pPr>
            <w:r>
              <w:rPr>
                <w:b w:val="0"/>
                <w:sz w:val="18"/>
              </w:rPr>
              <w:t>支撑工程及外部验证</w:t>
            </w:r>
          </w:p>
        </w:tc>
      </w:tr>
    </w:tbl>
    <w:p>
      <w:pPr>
        <w:spacing w:after="20"/>
      </w:pPr>
    </w:p>
    <w:p>
      <w:r>
        <w:t>主文保留平台图、候选域与冰情图、布局图、精度预算图、约束代价图和跨重构器图。当前平台、三类冰情约束对照、固定布局跨时间和完整交叉图尚无对应合格实验，本报告不生成替代数据。原第1–2章合并重写，第3章补平台与约束，第4章推导压缩，第5章改写部署机制，第6–7章重组为实验和结果；最终正文六章，每章小节不超过五个。</w:t>
      </w:r>
    </w:p>
    <w:p>
      <w:pPr>
        <w:pStyle w:val="Heading1"/>
      </w:pPr>
      <w:r>
        <w:t>6 结论与交付状态</w:t>
      </w:r>
    </w:p>
    <w:p>
      <w:pPr>
        <w:pStyle w:val="Heading2"/>
      </w:pPr>
      <w:r>
        <w:t>6.1 三个研究问题的当前回答</w:t>
      </w:r>
    </w:p>
    <w:p>
      <w:r>
        <w:t>不同冰情表达可能产生不同可行集，但现有实验尚未以同条件三类对照证明其工程差异；平均约束掩盖单节点违规是必须检验的机制。部署策略效果的重构器依赖具有明确风险：RBMF响应弱且强基线更好，现有分支比较不足以排除模型交互。有限资源下可行性代价已有复合情景的初步数值，尚未分离冰情、通信及资源各自作用。三个问题均应按上述边界写作，不能作为已全部解决的贡献。</w:t>
      </w:r>
    </w:p>
    <w:p>
      <w:pPr>
        <w:pStyle w:val="Heading2"/>
      </w:pPr>
      <w:r>
        <w:t>6.2 项目成果与停止决定</w:t>
      </w:r>
    </w:p>
    <w:p>
      <w:r>
        <w:t>项目已经形成可执行代码、真实温度数据物理处理、预先定义的比较协议、保存结果独立核验和有限候选停止记录。负结果提供了选取主重构器与收敛研究范围的依据。后续保持POD-Ridge主基线与LASSO/SBL对照，RBMF/CLBR作为固定研究参照；不根据已查看年份继续扩大候选以制造优势。</w:t>
      </w:r>
    </w:p>
    <w:p>
      <w:pPr>
        <w:pStyle w:val="Heading2"/>
      </w:pPr>
      <w:r>
        <w:t>6.3 报告整理与本地清理边界</w:t>
      </w:r>
    </w:p>
    <w:p>
      <w:r>
        <w:t>历史文档、已生成论文图及轻量证据集中在reports；README.md为索引，archive_manifest.json为来源和哈希，cleanup_inventory.json与清理说明.md记录候选删除范围。本轮按用户要求不删除虚拟环境、缓存、数组或原始数据，不提交和推送GitHub。当前仍有未跟踪核心文件；远程备份完整性尚未联网验证。清理前应确认这些代码及必要数值复现材料另有备份，且保留独立测试封存资格与数据来源记录。</w:t>
      </w:r>
    </w:p>
    <w:p>
      <w:pPr>
        <w:pStyle w:val="Heading2"/>
      </w:pPr>
      <w:r>
        <w:t>6.4 证据来源和复现入口</w:t>
      </w:r>
    </w:p>
    <w:p>
      <w:r>
        <w:t>关键来源为归档中的 docs/comparison_formal_report.md、polar_deployment_report.md、real_data_alignment_report.md、polar_validation_2013_report.md、p0_research_report_v1.md、p0_structure_report_v1.md，以及 outputs/clbr_p1_report_v1/report_zh.md。每张图的相邻说明给出实验资格；数值核验和参数见evidence对应目录。执行入口保留于原scripts、configs、tests和依赖文件。历史报告原样保留，其中当时的Git状态或早期测试称呼不代表整理日状态。完整历史清单见本目录README。</w:t>
      </w:r>
    </w:p>
    <w:p>
      <w:pPr>
        <w:pStyle w:val="Heading2"/>
      </w:pPr>
      <w:r>
        <w:t>6.5 已完成实验的补充图集</w:t>
      </w:r>
    </w:p>
    <w:p>
      <w:r>
        <w:t>以下补充收录其余最终结果图，便于论文取材。图9–13来自2014探索性比较，图14–16来自2013开发诊断，图17–20来自CLBR季度嵌套开发评价。它们与正文图1–8合计20张，涵盖目前主要结果报告的最终PNG图；历史目录另保留SVG、PDF及早期运行/核验图。图集不改变正文中的证据资格和停止结论。</w:t>
      </w:r>
    </w:p>
    <w:p>
      <w:pPr>
        <w:keepNext/>
        <w:jc w:val="center"/>
      </w:pPr>
      <w:r>
        <w:drawing>
          <wp:inline xmlns:a="http://schemas.openxmlformats.org/drawingml/2006/main" xmlns:pic="http://schemas.openxmlformats.org/drawingml/2006/picture">
            <wp:extent cx="6048000" cy="2242558"/>
            <wp:docPr id="9" name="Picture 9"/>
            <wp:cNvGraphicFramePr>
              <a:graphicFrameLocks noChangeAspect="1"/>
            </wp:cNvGraphicFramePr>
            <a:graphic>
              <a:graphicData uri="http://schemas.openxmlformats.org/drawingml/2006/picture">
                <pic:pic>
                  <pic:nvPicPr>
                    <pic:cNvPr id="0" name="robustness_reconstruction.png"/>
                    <pic:cNvPicPr/>
                  </pic:nvPicPr>
                  <pic:blipFill>
                    <a:blip r:embed="rId19"/>
                    <a:stretch>
                      <a:fillRect/>
                    </a:stretch>
                  </pic:blipFill>
                  <pic:spPr>
                    <a:xfrm>
                      <a:off x="0" y="0"/>
                      <a:ext cx="6048000" cy="2242558"/>
                    </a:xfrm>
                    <a:prstGeom prst="rect"/>
                  </pic:spPr>
                </pic:pic>
              </a:graphicData>
            </a:graphic>
          </wp:inline>
        </w:drawing>
      </w:r>
    </w:p>
    <w:p>
      <w:pPr>
        <w:pStyle w:val="Caption"/>
        <w:keepNext/>
        <w:jc w:val="center"/>
      </w:pPr>
      <w:r>
        <w:t>图9 重构污染场景比较</w:t>
      </w:r>
    </w:p>
    <w:p>
      <w:r>
        <w:t>图9使用协议规定的污染强度，不能推广为任意污染下鲁棒优势。</w:t>
      </w:r>
    </w:p>
    <w:p>
      <w:pPr>
        <w:keepNext/>
        <w:jc w:val="center"/>
      </w:pPr>
      <w:r>
        <w:drawing>
          <wp:inline xmlns:a="http://schemas.openxmlformats.org/drawingml/2006/main" xmlns:pic="http://schemas.openxmlformats.org/drawingml/2006/picture">
            <wp:extent cx="6048000" cy="2351596"/>
            <wp:docPr id="10" name="Picture 10"/>
            <wp:cNvGraphicFramePr>
              <a:graphicFrameLocks noChangeAspect="1"/>
            </wp:cNvGraphicFramePr>
            <a:graphic>
              <a:graphicData uri="http://schemas.openxmlformats.org/drawingml/2006/picture">
                <pic:pic>
                  <pic:nvPicPr>
                    <pic:cNvPr id="0" name="robustness_deployment.png"/>
                    <pic:cNvPicPr/>
                  </pic:nvPicPr>
                  <pic:blipFill>
                    <a:blip r:embed="rId20"/>
                    <a:stretch>
                      <a:fillRect/>
                    </a:stretch>
                  </pic:blipFill>
                  <pic:spPr>
                    <a:xfrm>
                      <a:off x="0" y="0"/>
                      <a:ext cx="6048000" cy="2351596"/>
                    </a:xfrm>
                    <a:prstGeom prst="rect"/>
                  </pic:spPr>
                </pic:pic>
              </a:graphicData>
            </a:graphic>
          </wp:inline>
        </w:drawing>
      </w:r>
    </w:p>
    <w:p>
      <w:pPr>
        <w:pStyle w:val="Caption"/>
        <w:keepNext/>
        <w:jc w:val="center"/>
      </w:pPr>
      <w:r>
        <w:t>图10 部署污染场景比较</w:t>
      </w:r>
    </w:p>
    <w:p>
      <w:r>
        <w:t>图10色轴放大了极小误差差异，应结合数值尺度阅读。</w:t>
      </w:r>
    </w:p>
    <w:p>
      <w:pPr>
        <w:keepNext/>
        <w:jc w:val="center"/>
      </w:pPr>
      <w:r>
        <w:drawing>
          <wp:inline xmlns:a="http://schemas.openxmlformats.org/drawingml/2006/main" xmlns:pic="http://schemas.openxmlformats.org/drawingml/2006/picture">
            <wp:extent cx="6048000" cy="2459866"/>
            <wp:docPr id="11" name="Picture 11"/>
            <wp:cNvGraphicFramePr>
              <a:graphicFrameLocks noChangeAspect="1"/>
            </wp:cNvGraphicFramePr>
            <a:graphic>
              <a:graphicData uri="http://schemas.openxmlformats.org/drawingml/2006/picture">
                <pic:pic>
                  <pic:nvPicPr>
                    <pic:cNvPr id="0" name="ablations.png"/>
                    <pic:cNvPicPr/>
                  </pic:nvPicPr>
                  <pic:blipFill>
                    <a:blip r:embed="rId21"/>
                    <a:stretch>
                      <a:fillRect/>
                    </a:stretch>
                  </pic:blipFill>
                  <pic:spPr>
                    <a:xfrm>
                      <a:off x="0" y="0"/>
                      <a:ext cx="6048000" cy="2459866"/>
                    </a:xfrm>
                    <a:prstGeom prst="rect"/>
                  </pic:spPr>
                </pic:pic>
              </a:graphicData>
            </a:graphic>
          </wp:inline>
        </w:drawing>
      </w:r>
    </w:p>
    <w:p>
      <w:pPr>
        <w:pStyle w:val="Caption"/>
        <w:keepNext/>
        <w:jc w:val="center"/>
      </w:pPr>
      <w:r>
        <w:t>图11 模型和评分消融</w:t>
      </w:r>
    </w:p>
    <w:p>
      <w:r>
        <w:t>图11去冗余与完整评分相同源于选定eta=0，不能作为非零冗余机制的验证。</w:t>
      </w:r>
    </w:p>
    <w:p>
      <w:pPr>
        <w:keepNext/>
        <w:jc w:val="center"/>
      </w:pPr>
      <w:r>
        <w:drawing>
          <wp:inline xmlns:a="http://schemas.openxmlformats.org/drawingml/2006/main" xmlns:pic="http://schemas.openxmlformats.org/drawingml/2006/picture">
            <wp:extent cx="6048000" cy="2459866"/>
            <wp:docPr id="12" name="Picture 12"/>
            <wp:cNvGraphicFramePr>
              <a:graphicFrameLocks noChangeAspect="1"/>
            </wp:cNvGraphicFramePr>
            <a:graphic>
              <a:graphicData uri="http://schemas.openxmlformats.org/drawingml/2006/picture">
                <pic:pic>
                  <pic:nvPicPr>
                    <pic:cNvPr id="0" name="calibration.png"/>
                    <pic:cNvPicPr/>
                  </pic:nvPicPr>
                  <pic:blipFill>
                    <a:blip r:embed="rId22"/>
                    <a:stretch>
                      <a:fillRect/>
                    </a:stretch>
                  </pic:blipFill>
                  <pic:spPr>
                    <a:xfrm>
                      <a:off x="0" y="0"/>
                      <a:ext cx="6048000" cy="2459866"/>
                    </a:xfrm>
                    <a:prstGeom prst="rect"/>
                  </pic:spPr>
                </pic:pic>
              </a:graphicData>
            </a:graphic>
          </wp:inline>
        </w:drawing>
      </w:r>
    </w:p>
    <w:p>
      <w:pPr>
        <w:pStyle w:val="Caption"/>
        <w:keepNext/>
        <w:jc w:val="center"/>
      </w:pPr>
      <w:r>
        <w:t>图12 原RBMF不确定性比较</w:t>
      </w:r>
    </w:p>
    <w:p>
      <w:r>
        <w:t>图12潜在场覆盖与未来观测覆盖对象不同，不得混用。</w:t>
      </w:r>
    </w:p>
    <w:p>
      <w:pPr>
        <w:keepNext/>
        <w:jc w:val="center"/>
      </w:pPr>
      <w:r>
        <w:drawing>
          <wp:inline xmlns:a="http://schemas.openxmlformats.org/drawingml/2006/main" xmlns:pic="http://schemas.openxmlformats.org/drawingml/2006/picture">
            <wp:extent cx="5943729" cy="3600000"/>
            <wp:docPr id="13" name="Picture 13"/>
            <wp:cNvGraphicFramePr>
              <a:graphicFrameLocks noChangeAspect="1"/>
            </wp:cNvGraphicFramePr>
            <a:graphic>
              <a:graphicData uri="http://schemas.openxmlformats.org/drawingml/2006/picture">
                <pic:pic>
                  <pic:nvPicPr>
                    <pic:cNvPr id="0" name="spatial_error_common_scale.png"/>
                    <pic:cNvPicPr/>
                  </pic:nvPicPr>
                  <pic:blipFill>
                    <a:blip r:embed="rId23"/>
                    <a:stretch>
                      <a:fillRect/>
                    </a:stretch>
                  </pic:blipFill>
                  <pic:spPr>
                    <a:xfrm>
                      <a:off x="0" y="0"/>
                      <a:ext cx="5943729" cy="3600000"/>
                    </a:xfrm>
                    <a:prstGeom prst="rect"/>
                  </pic:spPr>
                </pic:pic>
              </a:graphicData>
            </a:graphic>
          </wp:inline>
        </w:drawing>
      </w:r>
    </w:p>
    <w:p>
      <w:pPr>
        <w:pStyle w:val="Caption"/>
        <w:keepNext/>
        <w:jc w:val="center"/>
      </w:pPr>
      <w:r>
        <w:t>图13 共同色标下的空间误差</w:t>
      </w:r>
    </w:p>
    <w:p>
      <w:r>
        <w:t>图13与图2使用相同201401代表案例，误差色标约−3.4973至3.4973℃。</w:t>
      </w:r>
    </w:p>
    <w:p>
      <w:pPr>
        <w:keepNext/>
        <w:jc w:val="center"/>
      </w:pPr>
      <w:r>
        <w:drawing>
          <wp:inline xmlns:a="http://schemas.openxmlformats.org/drawingml/2006/main" xmlns:pic="http://schemas.openxmlformats.org/drawingml/2006/picture">
            <wp:extent cx="6048000" cy="2419200"/>
            <wp:docPr id="14" name="Picture 14"/>
            <wp:cNvGraphicFramePr>
              <a:graphicFrameLocks noChangeAspect="1"/>
            </wp:cNvGraphicFramePr>
            <a:graphic>
              <a:graphicData uri="http://schemas.openxmlformats.org/drawingml/2006/picture">
                <pic:pic>
                  <pic:nvPicPr>
                    <pic:cNvPr id="0" name="budget_curves.png"/>
                    <pic:cNvPicPr/>
                  </pic:nvPicPr>
                  <pic:blipFill>
                    <a:blip r:embed="rId24"/>
                    <a:stretch>
                      <a:fillRect/>
                    </a:stretch>
                  </pic:blipFill>
                  <pic:spPr>
                    <a:xfrm>
                      <a:off x="0" y="0"/>
                      <a:ext cx="6048000" cy="2419200"/>
                    </a:xfrm>
                    <a:prstGeom prst="rect"/>
                  </pic:spPr>
                </pic:pic>
              </a:graphicData>
            </a:graphic>
          </wp:inline>
        </w:drawing>
      </w:r>
    </w:p>
    <w:p>
      <w:pPr>
        <w:pStyle w:val="Caption"/>
        <w:keepNext/>
        <w:jc w:val="center"/>
      </w:pPr>
      <w:r>
        <w:t>图14 P0有限候选的预算曲线</w:t>
      </w:r>
    </w:p>
    <w:p>
      <w:r>
        <w:t>图14保留固定噪声条件对照与未通过门槛的候选，不把已知模拟器噪声条件视为可部署信息。</w:t>
      </w:r>
    </w:p>
    <w:p>
      <w:pPr>
        <w:keepNext/>
        <w:jc w:val="center"/>
      </w:pPr>
      <w:r>
        <w:drawing>
          <wp:inline xmlns:a="http://schemas.openxmlformats.org/drawingml/2006/main" xmlns:pic="http://schemas.openxmlformats.org/drawingml/2006/picture">
            <wp:extent cx="6048000" cy="2903040"/>
            <wp:docPr id="15" name="Picture 15"/>
            <wp:cNvGraphicFramePr>
              <a:graphicFrameLocks noChangeAspect="1"/>
            </wp:cNvGraphicFramePr>
            <a:graphic>
              <a:graphicData uri="http://schemas.openxmlformats.org/drawingml/2006/picture">
                <pic:pic>
                  <pic:nvPicPr>
                    <pic:cNvPr id="0" name="monthly_curves.png"/>
                    <pic:cNvPicPr/>
                  </pic:nvPicPr>
                  <pic:blipFill>
                    <a:blip r:embed="rId25"/>
                    <a:stretch>
                      <a:fillRect/>
                    </a:stretch>
                  </pic:blipFill>
                  <pic:spPr>
                    <a:xfrm>
                      <a:off x="0" y="0"/>
                      <a:ext cx="6048000" cy="2903040"/>
                    </a:xfrm>
                    <a:prstGeom prst="rect"/>
                  </pic:spPr>
                </pic:pic>
              </a:graphicData>
            </a:graphic>
          </wp:inline>
        </w:drawing>
      </w:r>
    </w:p>
    <w:p>
      <w:pPr>
        <w:pStyle w:val="Caption"/>
        <w:keepNext/>
        <w:jc w:val="center"/>
      </w:pPr>
      <w:r>
        <w:t>图15 P0有限候选的逐月误差</w:t>
      </w:r>
    </w:p>
    <w:p>
      <w:r>
        <w:t>图15保留月份差异与非单调结果，种子重复不是新增环境。</w:t>
      </w:r>
    </w:p>
    <w:p>
      <w:pPr>
        <w:keepNext/>
        <w:jc w:val="center"/>
      </w:pPr>
      <w:r>
        <w:drawing>
          <wp:inline xmlns:a="http://schemas.openxmlformats.org/drawingml/2006/main" xmlns:pic="http://schemas.openxmlformats.org/drawingml/2006/picture">
            <wp:extent cx="6048000" cy="2721600"/>
            <wp:docPr id="16" name="Picture 16"/>
            <wp:cNvGraphicFramePr>
              <a:graphicFrameLocks noChangeAspect="1"/>
            </wp:cNvGraphicFramePr>
            <a:graphic>
              <a:graphicData uri="http://schemas.openxmlformats.org/drawingml/2006/picture">
                <pic:pic>
                  <pic:nvPicPr>
                    <pic:cNvPr id="0" name="monthly_comparison.png"/>
                    <pic:cNvPicPr/>
                  </pic:nvPicPr>
                  <pic:blipFill>
                    <a:blip r:embed="rId26"/>
                    <a:stretch>
                      <a:fillRect/>
                    </a:stretch>
                  </pic:blipFill>
                  <pic:spPr>
                    <a:xfrm>
                      <a:off x="0" y="0"/>
                      <a:ext cx="6048000" cy="2721600"/>
                    </a:xfrm>
                    <a:prstGeom prst="rect"/>
                  </pic:spPr>
                </pic:pic>
              </a:graphicData>
            </a:graphic>
          </wp:inline>
        </w:drawing>
      </w:r>
    </w:p>
    <w:p>
      <w:pPr>
        <w:pStyle w:val="Caption"/>
        <w:keepNext/>
        <w:jc w:val="center"/>
      </w:pPr>
      <w:r>
        <w:t>图16 联合结构诊断的逐月比较</w:t>
      </w:r>
    </w:p>
    <w:p>
      <w:r>
        <w:t>图16联合候选虽多月略好于气候态，改善幅度仍未达到验收。</w:t>
      </w:r>
    </w:p>
    <w:p>
      <w:pPr>
        <w:keepNext/>
        <w:jc w:val="center"/>
      </w:pPr>
      <w:r>
        <w:drawing>
          <wp:inline xmlns:a="http://schemas.openxmlformats.org/drawingml/2006/main" xmlns:pic="http://schemas.openxmlformats.org/drawingml/2006/picture">
            <wp:extent cx="6048000" cy="2217600"/>
            <wp:docPr id="17" name="Picture 17"/>
            <wp:cNvGraphicFramePr>
              <a:graphicFrameLocks noChangeAspect="1"/>
            </wp:cNvGraphicFramePr>
            <a:graphic>
              <a:graphicData uri="http://schemas.openxmlformats.org/drawingml/2006/picture">
                <pic:pic>
                  <pic:nvPicPr>
                    <pic:cNvPr id="0" name="monthly_rmse.png"/>
                    <pic:cNvPicPr/>
                  </pic:nvPicPr>
                  <pic:blipFill>
                    <a:blip r:embed="rId27"/>
                    <a:stretch>
                      <a:fillRect/>
                    </a:stretch>
                  </pic:blipFill>
                  <pic:spPr>
                    <a:xfrm>
                      <a:off x="0" y="0"/>
                      <a:ext cx="6048000" cy="2217600"/>
                    </a:xfrm>
                    <a:prstGeom prst="rect"/>
                  </pic:spPr>
                </pic:pic>
              </a:graphicData>
            </a:graphic>
          </wp:inline>
        </w:drawing>
      </w:r>
    </w:p>
    <w:p>
      <w:pPr>
        <w:pStyle w:val="Caption"/>
        <w:keepNext/>
        <w:jc w:val="center"/>
      </w:pPr>
      <w:r>
        <w:t>图17 CLBR逐月点预测</w:t>
      </w:r>
    </w:p>
    <w:p>
      <w:r>
        <w:t>图17 CLBR仅5/12月优于Ridge，不因局部优势提升为正式方法。</w:t>
      </w:r>
    </w:p>
    <w:p>
      <w:pPr>
        <w:keepNext/>
        <w:jc w:val="center"/>
      </w:pPr>
      <w:r>
        <w:drawing>
          <wp:inline xmlns:a="http://schemas.openxmlformats.org/drawingml/2006/main" xmlns:pic="http://schemas.openxmlformats.org/drawingml/2006/picture">
            <wp:extent cx="4950000" cy="3600000"/>
            <wp:docPr id="18" name="Picture 18"/>
            <wp:cNvGraphicFramePr>
              <a:graphicFrameLocks noChangeAspect="1"/>
            </wp:cNvGraphicFramePr>
            <a:graphic>
              <a:graphicData uri="http://schemas.openxmlformats.org/drawingml/2006/picture">
                <pic:pic>
                  <pic:nvPicPr>
                    <pic:cNvPr id="0" name="coverage90_budget.png"/>
                    <pic:cNvPicPr/>
                  </pic:nvPicPr>
                  <pic:blipFill>
                    <a:blip r:embed="rId28"/>
                    <a:stretch>
                      <a:fillRect/>
                    </a:stretch>
                  </pic:blipFill>
                  <pic:spPr>
                    <a:xfrm>
                      <a:off x="0" y="0"/>
                      <a:ext cx="4950000" cy="3600000"/>
                    </a:xfrm>
                    <a:prstGeom prst="rect"/>
                  </pic:spPr>
                </pic:pic>
              </a:graphicData>
            </a:graphic>
          </wp:inline>
        </w:drawing>
      </w:r>
    </w:p>
    <w:p>
      <w:pPr>
        <w:pStyle w:val="Caption"/>
        <w:keepNext/>
        <w:jc w:val="center"/>
      </w:pPr>
      <w:r>
        <w:t>图18 CLBR逐预算90百分比区间覆盖</w:t>
      </w:r>
    </w:p>
    <w:p>
      <w:r>
        <w:t>图18覆盖须同时结合宽度和WIS，名义90%不是全场同时覆盖。</w:t>
      </w:r>
    </w:p>
    <w:p>
      <w:pPr>
        <w:keepNext/>
        <w:jc w:val="center"/>
      </w:pPr>
      <w:r>
        <w:drawing>
          <wp:inline xmlns:a="http://schemas.openxmlformats.org/drawingml/2006/main" xmlns:pic="http://schemas.openxmlformats.org/drawingml/2006/picture">
            <wp:extent cx="4950000" cy="3600000"/>
            <wp:docPr id="19" name="Picture 19"/>
            <wp:cNvGraphicFramePr>
              <a:graphicFrameLocks noChangeAspect="1"/>
            </wp:cNvGraphicFramePr>
            <a:graphic>
              <a:graphicData uri="http://schemas.openxmlformats.org/drawingml/2006/picture">
                <pic:pic>
                  <pic:nvPicPr>
                    <pic:cNvPr id="0" name="coverage90_date.png"/>
                    <pic:cNvPicPr/>
                  </pic:nvPicPr>
                  <pic:blipFill>
                    <a:blip r:embed="rId29"/>
                    <a:stretch>
                      <a:fillRect/>
                    </a:stretch>
                  </pic:blipFill>
                  <pic:spPr>
                    <a:xfrm>
                      <a:off x="0" y="0"/>
                      <a:ext cx="4950000" cy="3600000"/>
                    </a:xfrm>
                    <a:prstGeom prst="rect"/>
                  </pic:spPr>
                </pic:pic>
              </a:graphicData>
            </a:graphic>
          </wp:inline>
        </w:drawing>
      </w:r>
    </w:p>
    <w:p>
      <w:pPr>
        <w:pStyle w:val="Caption"/>
        <w:keepNext/>
        <w:jc w:val="center"/>
      </w:pPr>
      <w:r>
        <w:t>图19 CLBR逐月90百分比区间覆盖</w:t>
      </w:r>
    </w:p>
    <w:p>
      <w:r>
        <w:t>图19保留局部失准，2013仍为开发年份。</w:t>
      </w:r>
    </w:p>
    <w:p>
      <w:pPr>
        <w:keepNext/>
        <w:jc w:val="center"/>
      </w:pPr>
      <w:r>
        <w:drawing>
          <wp:inline xmlns:a="http://schemas.openxmlformats.org/drawingml/2006/main" xmlns:pic="http://schemas.openxmlformats.org/drawingml/2006/picture">
            <wp:extent cx="4500000" cy="3600000"/>
            <wp:docPr id="20" name="Picture 20"/>
            <wp:cNvGraphicFramePr>
              <a:graphicFrameLocks noChangeAspect="1"/>
            </wp:cNvGraphicFramePr>
            <a:graphic>
              <a:graphicData uri="http://schemas.openxmlformats.org/drawingml/2006/picture">
                <pic:pic>
                  <pic:nvPicPr>
                    <pic:cNvPr id="0" name="interval_width90.png"/>
                    <pic:cNvPicPr/>
                  </pic:nvPicPr>
                  <pic:blipFill>
                    <a:blip r:embed="rId30"/>
                    <a:stretch>
                      <a:fillRect/>
                    </a:stretch>
                  </pic:blipFill>
                  <pic:spPr>
                    <a:xfrm>
                      <a:off x="0" y="0"/>
                      <a:ext cx="4500000" cy="3600000"/>
                    </a:xfrm>
                    <a:prstGeom prst="rect"/>
                  </pic:spPr>
                </pic:pic>
              </a:graphicData>
            </a:graphic>
          </wp:inline>
        </w:drawing>
      </w:r>
    </w:p>
    <w:p>
      <w:pPr>
        <w:pStyle w:val="Caption"/>
        <w:keepNext/>
        <w:jc w:val="center"/>
      </w:pPr>
      <w:r>
        <w:t>图20 CLBR90百分比区间宽度</w:t>
      </w:r>
    </w:p>
    <w:p>
      <w:r>
        <w:t>图20经验区间相对Ridge的宽度增加约3.5%–5.1%，完整区间验收仍因WIS和月份门槛失败。</w:t>
      </w:r>
    </w:p>
    <w:sectPr w:rsidR="00FC693F" w:rsidRPr="0006063C" w:rsidSect="00034616">
      <w:headerReference w:type="default" r:id="rId9"/>
      <w:footerReference w:type="default" r:id="rId10"/>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海冰与资源约束下海洋观测节点部署  项目总结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Microsoft YaHei" w:hAnsi="Microsoft YaHei" w:eastAsia="Microsoft Ya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海冰与资源约束下海洋观测节点部署项目总结报告</dc:title>
  <dc:subject>已完成实验与论文补全证据</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