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0"/>
        <w:jc w:val="center"/>
      </w:pPr>
      <w:r>
        <w:rPr>
          <w:rFonts w:ascii="Times New Roman" w:cs="Times New Roman" w:eastAsia="Times New Roman" w:hAnsi="Times New Roman"/>
          <w:b/>
          <w:bCs/>
          <w:color w:val="491321"/>
          <w:sz w:val="52"/>
          <w:szCs w:val="52"/>
        </w:rPr>
        <w:t xml:space="preserve">JUAN CARLO</w:t>
      </w:r>
    </w:p>
    <w:p>
      <w:pPr>
        <w:spacing w:after="560"/>
        <w:jc w:val="center"/>
      </w:pPr>
      <w:r>
        <w:rPr>
          <w:rFonts w:ascii="Times New Roman" w:cs="Times New Roman" w:eastAsia="Times New Roman" w:hAnsi="Times New Roman"/>
          <w:i/>
          <w:iCs/>
          <w:color w:val="5F5F5F"/>
          <w:sz w:val="22"/>
          <w:szCs w:val="22"/>
        </w:rPr>
        <w:t xml:space="preserve">The Heart of Tasteful Celebrations</w:t>
      </w:r>
    </w:p>
    <w:p>
      <w:pPr>
        <w:spacing w:after="120"/>
        <w:jc w:val="center"/>
      </w:pPr>
      <w:r>
        <w:rPr>
          <w:rFonts w:ascii="Times New Roman" w:cs="Times New Roman" w:eastAsia="Times New Roman" w:hAnsi="Times New Roman"/>
          <w:b/>
          <w:bCs/>
          <w:color w:val="1A1A1A"/>
          <w:sz w:val="26"/>
          <w:szCs w:val="26"/>
        </w:rPr>
        <w:t xml:space="preserve">EVENT MANAGEMENT AND OPERATIONS MONITORING SYSTEM</w:t>
      </w:r>
    </w:p>
    <w:p>
      <w:pPr>
        <w:spacing w:after="100"/>
        <w:jc w:val="center"/>
      </w:pPr>
      <w:r>
        <w:rPr>
          <w:rFonts w:ascii="Times New Roman" w:cs="Times New Roman" w:eastAsia="Times New Roman" w:hAnsi="Times New Roman"/>
          <w:b/>
          <w:bCs/>
          <w:color w:val="491321"/>
          <w:sz w:val="38"/>
          <w:szCs w:val="38"/>
        </w:rPr>
        <w:t xml:space="preserve">DEMONSTRATION OUTLINE</w:t>
      </w:r>
    </w:p>
    <w:p>
      <w:pPr>
        <w:spacing w:after="900"/>
        <w:jc w:val="center"/>
      </w:pPr>
      <w:r>
        <w:rPr>
          <w:rFonts w:ascii="Times New Roman" w:cs="Times New Roman" w:eastAsia="Times New Roman" w:hAnsi="Times New Roman"/>
          <w:b/>
          <w:bCs/>
          <w:color w:val="7A2E4A"/>
          <w:sz w:val="26"/>
          <w:szCs w:val="26"/>
        </w:rPr>
        <w:t xml:space="preserve">Accounting (Budgeting) and Reports Modules</w:t>
      </w:r>
    </w:p>
    <w:p>
      <w:pPr>
        <w:spacing w:after="60"/>
        <w:jc w:val="center"/>
      </w:pPr>
      <w:r>
        <w:rPr>
          <w:rFonts w:ascii="Times New Roman" w:cs="Times New Roman" w:eastAsia="Times New Roman" w:hAnsi="Times New Roman"/>
          <w:i/>
          <w:iCs/>
          <w:color w:val="5F5F5F"/>
          <w:sz w:val="21"/>
          <w:szCs w:val="21"/>
        </w:rPr>
        <w:t xml:space="preserve">A guided walkthrough of the two modules not covered in the previous defense, with the revisions they demonstrate and the corresponding sections of the User Manual.</w:t>
      </w:r>
    </w:p>
    <w:p>
      <w:pPr>
        <w:spacing w:before="1200" w:after="0"/>
        <w:jc w:val="center"/>
      </w:pPr>
      <w:r>
        <w:rPr>
          <w:rFonts w:ascii="Times New Roman" w:cs="Times New Roman" w:eastAsia="Times New Roman" w:hAnsi="Times New Roman"/>
          <w:color w:val="1A1A1A"/>
          <w:sz w:val="21"/>
          <w:szCs w:val="21"/>
        </w:rPr>
        <w:t xml:space="preserve">Companion document: Final User Manual (FinalUserManual.docx)</w:t>
      </w:r>
    </w:p>
    <w:p>
      <w:pPr>
        <w:spacing w:after="0"/>
        <w:jc w:val="center"/>
      </w:pPr>
      <w:r>
        <w:rPr>
          <w:rFonts w:ascii="Times New Roman" w:cs="Times New Roman" w:eastAsia="Times New Roman" w:hAnsi="Times New Roman"/>
          <w:color w:val="1A1A1A"/>
          <w:sz w:val="21"/>
          <w:szCs w:val="21"/>
        </w:rPr>
        <w:t xml:space="preserve">Capstone Defense · CAP-2467-IT</w:t>
      </w:r>
    </w:p>
    <w:p>
      <w:pPr>
        <w:pStyle w:val="Heading1"/>
        <w:pageBreakBefore/>
      </w:pPr>
      <w:r>
        <w:rPr>
          <w:rFonts w:ascii="Times New Roman" w:cs="Times New Roman" w:eastAsia="Times New Roman" w:hAnsi="Times New Roman"/>
          <w:b/>
          <w:bCs/>
          <w:color w:val="491321"/>
          <w:sz w:val="40"/>
          <w:szCs w:val="40"/>
        </w:rPr>
        <w:t xml:space="preserve">1. Purpose and Scope</w:t>
      </w:r>
    </w:p>
    <w:p>
      <w:pPr>
        <w:pStyle w:val="Heading2"/>
      </w:pPr>
      <w:r>
        <w:rPr>
          <w:rFonts w:ascii="Times New Roman" w:cs="Times New Roman" w:eastAsia="Times New Roman" w:hAnsi="Times New Roman"/>
          <w:b/>
          <w:bCs/>
          <w:color w:val="1A1A1A"/>
          <w:sz w:val="28"/>
          <w:szCs w:val="28"/>
        </w:rPr>
        <w:t xml:space="preserve">1.1 What This Demonstration Covers</w:t>
      </w:r>
    </w:p>
    <w:p>
      <w:pPr>
        <w:spacing w:after="160"/>
      </w:pPr>
      <w:r>
        <w:rPr>
          <w:rFonts w:ascii="Times New Roman" w:cs="Times New Roman" w:eastAsia="Times New Roman" w:hAnsi="Times New Roman"/>
          <w:sz w:val="22"/>
          <w:szCs w:val="22"/>
          <w:color w:val="1A1A1A"/>
        </w:rPr>
        <w:t xml:space="preserve">This demonstration presents the two modules that were </w:t>
      </w:r>
      <w:r>
        <w:rPr>
          <w:rFonts w:ascii="Times New Roman" w:cs="Times New Roman" w:eastAsia="Times New Roman" w:hAnsi="Times New Roman"/>
          <w:b/>
          <w:bCs/>
          <w:sz w:val="22"/>
          <w:szCs w:val="22"/>
          <w:color w:val="1A1A1A"/>
        </w:rPr>
        <w:t xml:space="preserve">not</w:t>
      </w:r>
      <w:r>
        <w:rPr>
          <w:rFonts w:ascii="Times New Roman" w:cs="Times New Roman" w:eastAsia="Times New Roman" w:hAnsi="Times New Roman"/>
          <w:sz w:val="22"/>
          <w:szCs w:val="22"/>
          <w:color w:val="1A1A1A"/>
        </w:rPr>
        <w:t xml:space="preserve"> part of the previous defense: the </w:t>
      </w:r>
      <w:r>
        <w:rPr>
          <w:rFonts w:ascii="Times New Roman" w:cs="Times New Roman" w:eastAsia="Times New Roman" w:hAnsi="Times New Roman"/>
          <w:b/>
          <w:bCs/>
          <w:sz w:val="22"/>
          <w:szCs w:val="22"/>
          <w:color w:val="1A1A1A"/>
        </w:rPr>
        <w:t xml:space="preserve">Accounting module, specifically monthly budgeting and its enforcement</w:t>
      </w:r>
      <w:r>
        <w:rPr>
          <w:rFonts w:ascii="Times New Roman" w:cs="Times New Roman" w:eastAsia="Times New Roman" w:hAnsi="Times New Roman"/>
          <w:sz w:val="22"/>
          <w:szCs w:val="22"/>
          <w:color w:val="1A1A1A"/>
        </w:rPr>
        <w:t xml:space="preserve">, and the </w:t>
      </w:r>
      <w:r>
        <w:rPr>
          <w:rFonts w:ascii="Times New Roman" w:cs="Times New Roman" w:eastAsia="Times New Roman" w:hAnsi="Times New Roman"/>
          <w:b/>
          <w:bCs/>
          <w:sz w:val="22"/>
          <w:szCs w:val="22"/>
          <w:color w:val="1A1A1A"/>
        </w:rPr>
        <w:t xml:space="preserve">Reports module</w:t>
      </w:r>
      <w:r>
        <w:rPr>
          <w:rFonts w:ascii="Times New Roman" w:cs="Times New Roman" w:eastAsia="Times New Roman" w:hAnsi="Times New Roman"/>
          <w:sz w:val="22"/>
          <w:szCs w:val="22"/>
          <w:color w:val="1A1A1A"/>
        </w:rPr>
        <w:t xml:space="preserve">. Both are shown live, and every step in this outline points to the section of the User Manual that documents it, so the panel can follow along in the manual while the system is being operated.</w:t>
      </w:r>
    </w:p>
    <w:p>
      <w:pPr>
        <w:pStyle w:val="Heading2"/>
      </w:pPr>
      <w:r>
        <w:rPr>
          <w:rFonts w:ascii="Times New Roman" w:cs="Times New Roman" w:eastAsia="Times New Roman" w:hAnsi="Times New Roman"/>
          <w:b/>
          <w:bCs/>
          <w:color w:val="1A1A1A"/>
          <w:sz w:val="28"/>
          <w:szCs w:val="28"/>
        </w:rPr>
        <w:t xml:space="preserve">1.2 What Is Deliberately Excluded</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full contract journey</w:t>
      </w:r>
      <w:r>
        <w:rPr>
          <w:rFonts w:ascii="Times New Roman" w:cs="Times New Roman" w:eastAsia="Times New Roman" w:hAnsi="Times New Roman"/>
          <w:sz w:val="22"/>
          <w:szCs w:val="22"/>
          <w:color w:val="1A1A1A"/>
        </w:rPr>
        <w:t xml:space="preserve"> — booking, contract creation, department validation, signature, approval, pre-event preparation, and closing — was demonstrated in the previous defense and is </w:t>
      </w:r>
      <w:r>
        <w:rPr>
          <w:rFonts w:ascii="Times New Roman" w:cs="Times New Roman" w:eastAsia="Times New Roman" w:hAnsi="Times New Roman"/>
          <w:b/>
          <w:bCs/>
          <w:sz w:val="22"/>
          <w:szCs w:val="22"/>
          <w:color w:val="1A1A1A"/>
        </w:rPr>
        <w:t xml:space="preserve">not repeated here</w:t>
      </w:r>
      <w:r>
        <w:rPr>
          <w:rFonts w:ascii="Times New Roman" w:cs="Times New Roman" w:eastAsia="Times New Roman" w:hAnsi="Times New Roman"/>
          <w:sz w:val="22"/>
          <w:szCs w:val="22"/>
          <w:color w:val="1A1A1A"/>
        </w:rPr>
        <w:t xml:space="preserve">. It remains documented in the User Manual (Chapters 3 to 12 and Appendix B) for reference.</w:t>
      </w:r>
    </w:p>
    <w:p>
      <w:pPr>
        <w:pStyle w:val="Heading2"/>
      </w:pPr>
      <w:r>
        <w:rPr>
          <w:rFonts w:ascii="Times New Roman" w:cs="Times New Roman" w:eastAsia="Times New Roman" w:hAnsi="Times New Roman"/>
          <w:b/>
          <w:bCs/>
          <w:color w:val="1A1A1A"/>
          <w:sz w:val="28"/>
          <w:szCs w:val="28"/>
        </w:rPr>
        <w:t xml:space="preserve">1.3 Opening Statement</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“Since the contract lifecycle was covered in our last defense, we are focusing on the two modules that were not: how Accounting sets and enforces its operating budget, and what the system reports back. We will be following Chapter 4 and Chapter 13 of the user manual.”</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“May we ask the panel to open the User Manual at Chapter 4, the Accounting Department Guide. Section 4.1 gives the department’s features at a glance in Table 4.1, and this demonstration is based on that chapter together with Chapter 13 on Reports. We will announce the section before each part.”</w:t>
      </w:r>
    </w:p>
    <w:p>
      <w:pPr>
        <w:pStyle w:val="Heading2"/>
      </w:pPr>
      <w:r>
        <w:rPr>
          <w:rFonts w:ascii="Times New Roman" w:cs="Times New Roman" w:eastAsia="Times New Roman" w:hAnsi="Times New Roman"/>
          <w:b/>
          <w:bCs/>
          <w:color w:val="1A1A1A"/>
          <w:sz w:val="28"/>
          <w:szCs w:val="28"/>
        </w:rPr>
        <w:t xml:space="preserve">1.4 Following Along in the User Manual</w:t>
      </w:r>
    </w:p>
    <w:p>
      <w:pPr>
        <w:spacing w:after="160"/>
      </w:pPr>
      <w:r>
        <w:rPr>
          <w:rFonts w:ascii="Times New Roman" w:cs="Times New Roman" w:eastAsia="Times New Roman" w:hAnsi="Times New Roman"/>
          <w:sz w:val="22"/>
          <w:szCs w:val="22"/>
          <w:color w:val="1A1A1A"/>
        </w:rPr>
        <w:t xml:space="preserve">Each part of the demonstration corresponds to the manual sections below.</w:t>
      </w:r>
    </w:p>
    <w:p>
      <w:pPr>
        <w:spacing w:after="80" w:before="60"/>
      </w:pPr>
      <w:r>
        <w:rPr>
          <w:rFonts w:ascii="Times New Roman" w:cs="Times New Roman" w:eastAsia="Times New Roman" w:hAnsi="Times New Roman"/>
          <w:b/>
          <w:bCs/>
          <w:color w:val="491321"/>
          <w:sz w:val="20"/>
          <w:szCs w:val="20"/>
        </w:rPr>
        <w:t xml:space="preserve">Table 1.1 Demonstration Parts and User Manual References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700"/>
        <w:gridCol w:w="2700"/>
      </w:tblGrid>
      <w:tr>
        <w:trPr>
          <w:tblHeader/>
        </w:trPr>
        <w:tc>
          <w:tcPr>
            <w:tcW w:type="dxa" w:w="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Part</w:t>
            </w:r>
          </w:p>
        </w:tc>
        <w:tc>
          <w:tcPr>
            <w:tcW w:type="dxa" w:w="3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Demonstration Topic</w:t>
            </w:r>
          </w:p>
        </w:tc>
        <w:tc>
          <w:tcPr>
            <w:tcW w:type="dxa" w:w="2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 Section</w:t>
            </w:r>
          </w:p>
        </w:tc>
        <w:tc>
          <w:tcPr>
            <w:tcW w:type="dxa" w:w="2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Figure / Table</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Setting the monthly operating budget</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 Monthly Operating Budget</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4.8.1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enforcement in procurement approval</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 Procurement Budget Approval</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4.7.1 · Table 4.3</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Reports module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 Department Reports</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13.1.1 · Table 13.1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Closing scenario (payment hold and contract close)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§4.6 · §4.9 · §4.10</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4.6.1 · Table A.1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5</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Scenario spotlights (same-day shortage; post-event incident)</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§11.3 · §13.3 · §5.7 / 6.7 / 7.8</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Figures 13.3.1 · 13.3.2</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 overview and features (reference)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§4.1 Role Overview and Features</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Notifications received by Accounting (reference)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§4.2 Notifications</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4.2</w:t>
            </w:r>
          </w:p>
        </w:tc>
      </w:tr>
    </w:tbl>
    <w:p>
      <w:pPr>
        <w:spacing w:after="160"/>
      </w:pPr>
    </w:p>
    <w:p>
      <w:pPr>
        <w:pStyle w:val="Heading1"/>
        <w:pageBreakBefore/>
      </w:pPr>
      <w:r>
        <w:rPr>
          <w:rFonts w:ascii="Times New Roman" w:cs="Times New Roman" w:eastAsia="Times New Roman" w:hAnsi="Times New Roman"/>
          <w:b/>
          <w:bCs/>
          <w:color w:val="491321"/>
          <w:sz w:val="40"/>
          <w:szCs w:val="40"/>
        </w:rPr>
        <w:t xml:space="preserve">2. Pre-Demonstration Checklist</w:t>
      </w:r>
    </w:p>
    <w:p>
      <w:pPr>
        <w:spacing w:after="160"/>
      </w:pPr>
      <w:r>
        <w:rPr>
          <w:rFonts w:ascii="Times New Roman" w:cs="Times New Roman" w:eastAsia="Times New Roman" w:hAnsi="Times New Roman"/>
          <w:sz w:val="22"/>
          <w:szCs w:val="22"/>
          <w:color w:val="1A1A1A"/>
        </w:rPr>
        <w:t xml:space="preserve">Complete these steps before the panel arrives.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Start the system with `npm run dev`. The backend runs on port 5000 and the interface on port 5173.</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Run the demonstration kit: `npm run seed:demokit`. This prepares every record used below and may be re-run as often as needed.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Log in with the </w:t>
      </w:r>
      <w:r>
        <w:rPr>
          <w:rFonts w:ascii="Times New Roman" w:cs="Times New Roman" w:eastAsia="Times New Roman" w:hAnsi="Times New Roman"/>
          <w:b/>
          <w:bCs/>
          <w:sz w:val="22"/>
          <w:szCs w:val="22"/>
          <w:color w:val="1A1A1A"/>
        </w:rPr>
        <w:t xml:space="preserve">Accounting</w:t>
      </w:r>
      <w:r>
        <w:rPr>
          <w:rFonts w:ascii="Times New Roman" w:cs="Times New Roman" w:eastAsia="Times New Roman" w:hAnsi="Times New Roman"/>
          <w:sz w:val="22"/>
          <w:szCs w:val="22"/>
          <w:color w:val="1A1A1A"/>
        </w:rPr>
        <w:t xml:space="preserve"> account. The entire demonstration is performed in this role.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Confirm the current-month budget exists with a total of </w:t>
      </w:r>
      <w:r>
        <w:rPr>
          <w:rFonts w:ascii="Times New Roman" w:cs="Times New Roman" w:eastAsia="Times New Roman" w:hAnsi="Times New Roman"/>
          <w:b/>
          <w:bCs/>
          <w:sz w:val="22"/>
          <w:szCs w:val="22"/>
          <w:color w:val="1A1A1A"/>
        </w:rPr>
        <w:t xml:space="preserve">₱150,000</w:t>
      </w:r>
      <w:r>
        <w:rPr>
          <w:rFonts w:ascii="Times New Roman" w:cs="Times New Roman" w:eastAsia="Times New Roman" w:hAnsi="Times New Roman"/>
          <w:sz w:val="22"/>
          <w:szCs w:val="22"/>
          <w:color w:val="1A1A1A"/>
        </w:rPr>
        <w:t xml:space="preserve">, of which </w:t>
      </w:r>
      <w:r>
        <w:rPr>
          <w:rFonts w:ascii="Times New Roman" w:cs="Times New Roman" w:eastAsia="Times New Roman" w:hAnsi="Times New Roman"/>
          <w:b/>
          <w:bCs/>
          <w:sz w:val="22"/>
          <w:szCs w:val="22"/>
          <w:color w:val="1A1A1A"/>
        </w:rPr>
        <w:t xml:space="preserve">₱15,000</w:t>
      </w:r>
      <w:r>
        <w:rPr>
          <w:rFonts w:ascii="Times New Roman" w:cs="Times New Roman" w:eastAsia="Times New Roman" w:hAnsi="Times New Roman"/>
          <w:sz w:val="22"/>
          <w:szCs w:val="22"/>
          <w:color w:val="1A1A1A"/>
        </w:rPr>
        <w:t xml:space="preserve"> is allocated to Creative.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Confirm the approval queue contains </w:t>
      </w:r>
      <w:r>
        <w:rPr>
          <w:rFonts w:ascii="Times New Roman" w:cs="Times New Roman" w:eastAsia="Times New Roman" w:hAnsi="Times New Roman"/>
          <w:b/>
          <w:bCs/>
          <w:sz w:val="22"/>
          <w:szCs w:val="22"/>
          <w:color w:val="1A1A1A"/>
        </w:rPr>
        <w:t xml:space="preserve">DK-PR-0001</w:t>
      </w:r>
      <w:r>
        <w:rPr>
          <w:rFonts w:ascii="Times New Roman" w:cs="Times New Roman" w:eastAsia="Times New Roman" w:hAnsi="Times New Roman"/>
          <w:sz w:val="22"/>
          <w:szCs w:val="22"/>
          <w:color w:val="1A1A1A"/>
        </w:rPr>
        <w:t xml:space="preserve"> (Stockroom · ₱1,850 · approves) and </w:t>
      </w:r>
      <w:r>
        <w:rPr>
          <w:rFonts w:ascii="Times New Roman" w:cs="Times New Roman" w:eastAsia="Times New Roman" w:hAnsi="Times New Roman"/>
          <w:b/>
          <w:bCs/>
          <w:sz w:val="22"/>
          <w:szCs w:val="22"/>
          <w:color w:val="1A1A1A"/>
        </w:rPr>
        <w:t xml:space="preserve">DK-PR-0002</w:t>
      </w:r>
      <w:r>
        <w:rPr>
          <w:rFonts w:ascii="Times New Roman" w:cs="Times New Roman" w:eastAsia="Times New Roman" w:hAnsi="Times New Roman"/>
          <w:sz w:val="22"/>
          <w:szCs w:val="22"/>
          <w:color w:val="1A1A1A"/>
        </w:rPr>
        <w:t xml:space="preserve"> (Creative · ₱48,000 · blocked), used in Part 2.</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Open the User Manual at Chapter 4, either printed or on a second screen.</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No manual preparation is needed. </w:t>
      </w:r>
      <w:r>
        <w:rPr>
          <w:rFonts w:ascii="Times New Roman" w:cs="Times New Roman" w:eastAsia="Times New Roman" w:hAnsi="Times New Roman"/>
          <w:color w:val="1A1A1A"/>
          <w:sz w:val="20"/>
          <w:szCs w:val="20"/>
        </w:rPr>
        <w:t xml:space="preserve">The demonstration kit seeds DK-PR-0002 at ₱48,000 against a Creative allocation of ₱15,000, so the over-budget block occurs on its own. Nothing has to be lowered before the demonstration or restored afterwards.</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Every seeded record is prefixed DK-. </w:t>
      </w:r>
      <w:r>
        <w:rPr>
          <w:rFonts w:ascii="Times New Roman" w:cs="Times New Roman" w:eastAsia="Times New Roman" w:hAnsi="Times New Roman"/>
          <w:color w:val="1A1A1A"/>
          <w:sz w:val="20"/>
          <w:szCs w:val="20"/>
        </w:rPr>
        <w:t xml:space="preserve">Re-running the seed removes and recreates only those records, so existing data is left untouched. If a record number below is missing from the screen, simply run the seed again.</w:t>
      </w:r>
    </w:p>
    <w:p>
      <w:pPr>
        <w:pStyle w:val="Heading1"/>
        <w:pageBreakBefore/>
      </w:pPr>
      <w:r>
        <w:rPr>
          <w:rFonts w:ascii="Times New Roman" w:cs="Times New Roman" w:eastAsia="Times New Roman" w:hAnsi="Times New Roman"/>
          <w:b/>
          <w:bCs/>
          <w:color w:val="491321"/>
          <w:sz w:val="40"/>
          <w:szCs w:val="40"/>
        </w:rPr>
        <w:t xml:space="preserve">3. Part 1 — Setting the Monthly Operating Budget</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“Please navigate to Section 4.8 of the User Manual, Monthly Operating Budget. This segment is based on that section, and Figure 4.8.1 shows the screen we are about to open.”</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§4.8 Monthly Operating Budget · Figure 4.8.1 (Monthly budget editor) · supporting: Table 4.1 Accounting Features</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2 minutes.</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“Accounting sets an operating budget every month. It is not a static figure — the system proposes amounts based on actual spending history.”</w:t>
      </w:r>
    </w:p>
    <w:p>
      <w:pPr>
        <w:pStyle w:val="Heading2"/>
      </w:pPr>
      <w:r>
        <w:rPr>
          <w:rFonts w:ascii="Times New Roman" w:cs="Times New Roman" w:eastAsia="Times New Roman" w:hAnsi="Times New Roman"/>
          <w:b/>
          <w:bCs/>
          <w:color w:val="1A1A1A"/>
          <w:sz w:val="28"/>
          <w:szCs w:val="28"/>
        </w:rPr>
        <w:t xml:space="preserve">3.1 Procedure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From the Accounting Dashboard, open the </w:t>
      </w:r>
      <w:r>
        <w:rPr>
          <w:rFonts w:ascii="Times New Roman" w:cs="Times New Roman" w:eastAsia="Times New Roman" w:hAnsi="Times New Roman"/>
          <w:b/>
          <w:bCs/>
          <w:sz w:val="22"/>
          <w:szCs w:val="22"/>
          <w:color w:val="1A1A1A"/>
        </w:rPr>
        <w:t xml:space="preserve">Finance</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Point out the month selector and the current allocation for each department category.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Standard Amounts</w:t>
      </w:r>
      <w:r>
        <w:rPr>
          <w:rFonts w:ascii="Times New Roman" w:cs="Times New Roman" w:eastAsia="Times New Roman" w:hAnsi="Times New Roman"/>
          <w:sz w:val="22"/>
          <w:szCs w:val="22"/>
          <w:color w:val="1A1A1A"/>
        </w:rPr>
        <w:t xml:space="preserve"> to show the template baseline.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Suggest From Last 3 Months</w:t>
      </w:r>
      <w:r>
        <w:rPr>
          <w:rFonts w:ascii="Times New Roman" w:cs="Times New Roman" w:eastAsia="Times New Roman" w:hAnsi="Times New Roman"/>
          <w:sz w:val="22"/>
          <w:szCs w:val="22"/>
          <w:color w:val="1A1A1A"/>
        </w:rPr>
        <w:t xml:space="preserve">. The Creative, Linen, and Stockroom amounts update.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Read the </w:t>
      </w:r>
      <w:r>
        <w:rPr>
          <w:rFonts w:ascii="Times New Roman" w:cs="Times New Roman" w:eastAsia="Times New Roman" w:hAnsi="Times New Roman"/>
          <w:b/>
          <w:bCs/>
          <w:sz w:val="22"/>
          <w:szCs w:val="22"/>
          <w:color w:val="1A1A1A"/>
        </w:rPr>
        <w:t xml:space="preserve">Basis</w:t>
      </w:r>
      <w:r>
        <w:rPr>
          <w:rFonts w:ascii="Times New Roman" w:cs="Times New Roman" w:eastAsia="Times New Roman" w:hAnsi="Times New Roman"/>
          <w:sz w:val="22"/>
          <w:szCs w:val="22"/>
          <w:color w:val="1A1A1A"/>
        </w:rPr>
        <w:t xml:space="preserve"> line aloud: the suggestion derives those three categories from the trailing three-month average of confirmed procurement spend; the remaining categories use the standard template amount.</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Point to </w:t>
      </w:r>
      <w:r>
        <w:rPr>
          <w:rFonts w:ascii="Times New Roman" w:cs="Times New Roman" w:eastAsia="Times New Roman" w:hAnsi="Times New Roman"/>
          <w:b/>
          <w:bCs/>
          <w:sz w:val="22"/>
          <w:szCs w:val="22"/>
          <w:color w:val="1A1A1A"/>
        </w:rPr>
        <w:t xml:space="preserve">Allocated total</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Unallocated</w:t>
      </w:r>
      <w:r>
        <w:rPr>
          <w:rFonts w:ascii="Times New Roman" w:cs="Times New Roman" w:eastAsia="Times New Roman" w:hAnsi="Times New Roman"/>
          <w:sz w:val="22"/>
          <w:szCs w:val="22"/>
          <w:color w:val="1A1A1A"/>
        </w:rPr>
        <w:t xml:space="preserve"> at the foot of the table.</w:t>
      </w:r>
    </w:p>
    <w:p>
      <w:pPr>
        <w:spacing w:after="80"/>
        <w:ind w:left="480" w:hanging="360"/>
      </w:pPr>
      <w:r>
        <w:rPr>
          <w:rFonts w:ascii="Times New Roman" w:cs="Times New Roman" w:eastAsia="Times New Roman" w:hAnsi="Times New Roman"/>
          <w:b/>
          <w:bCs/>
          <w:sz w:val="22"/>
          <w:szCs w:val="22"/>
          <w:color w:val="1A1A1A"/>
        </w:rPr>
        <w:t xml:space="preserve">7.</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Save Monthly Budget</w:t>
      </w:r>
      <w:r>
        <w:rPr>
          <w:rFonts w:ascii="Times New Roman" w:cs="Times New Roman" w:eastAsia="Times New Roman" w:hAnsi="Times New Roman"/>
          <w:sz w:val="22"/>
          <w:szCs w:val="22"/>
          <w:color w:val="1A1A1A"/>
        </w:rPr>
        <w:t xml:space="preserve">.</w:t>
      </w:r>
    </w:p>
    <w:p>
      <w:pPr>
        <w:pStyle w:val="Heading2"/>
      </w:pPr>
      <w:r>
        <w:rPr>
          <w:rFonts w:ascii="Times New Roman" w:cs="Times New Roman" w:eastAsia="Times New Roman" w:hAnsi="Times New Roman"/>
          <w:b/>
          <w:bCs/>
          <w:color w:val="1A1A1A"/>
          <w:sz w:val="28"/>
          <w:szCs w:val="28"/>
        </w:rPr>
        <w:t xml:space="preserve">3.2 Point to Emphasise</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“The budget is data-derived, not estimated — it comes from what the departments actually spent.”</w:t>
      </w:r>
    </w:p>
    <w:p>
      <w:pPr>
        <w:pStyle w:val="Heading1"/>
        <w:pageBreakBefore/>
      </w:pPr>
      <w:r>
        <w:rPr>
          <w:rFonts w:ascii="Times New Roman" w:cs="Times New Roman" w:eastAsia="Times New Roman" w:hAnsi="Times New Roman"/>
          <w:b/>
          <w:bCs/>
          <w:color w:val="491321"/>
          <w:sz w:val="40"/>
          <w:szCs w:val="40"/>
        </w:rPr>
        <w:t xml:space="preserve">4. Part 2 — The Budget as a Control</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“Please navigate to Section 4.7, Procurement Budget Approval. This segment is based on that section. Figure 4.7.1 shows the approval queue, and Table 4.3 lists the financial business rules the system is enforcing.”</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§4.7 Procurement Budget Approval · Figure 4.7.1 (approval queue with review checklist) · Table 4.3 Financial Business Rules</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3 minutes. This is the most important part of the demonstration.</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 budget that only records numbers is not a control. Here is the budget actually deciding whether money is released.”</w:t>
      </w:r>
    </w:p>
    <w:p>
      <w:pPr>
        <w:pStyle w:val="Heading2"/>
      </w:pPr>
      <w:r>
        <w:rPr>
          <w:rFonts w:ascii="Times New Roman" w:cs="Times New Roman" w:eastAsia="Times New Roman" w:hAnsi="Times New Roman"/>
          <w:b/>
          <w:bCs/>
          <w:color w:val="1A1A1A"/>
          <w:sz w:val="28"/>
          <w:szCs w:val="28"/>
        </w:rPr>
        <w:t xml:space="preserve">4.1 A Normal Approval</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From the Accounting Dashboard, open the </w:t>
      </w:r>
      <w:r>
        <w:rPr>
          <w:rFonts w:ascii="Times New Roman" w:cs="Times New Roman" w:eastAsia="Times New Roman" w:hAnsi="Times New Roman"/>
          <w:b/>
          <w:bCs/>
          <w:sz w:val="22"/>
          <w:szCs w:val="22"/>
          <w:color w:val="1A1A1A"/>
        </w:rPr>
        <w:t xml:space="preserve">Procurement Approval</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Demonstrate the sorting filters — newest first, oldest first, by event date, or by date needed.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DK-PR-0001</w:t>
      </w:r>
      <w:r>
        <w:rPr>
          <w:rFonts w:ascii="Times New Roman" w:cs="Times New Roman" w:eastAsia="Times New Roman" w:hAnsi="Times New Roman"/>
          <w:sz w:val="22"/>
          <w:szCs w:val="22"/>
          <w:color w:val="1A1A1A"/>
        </w:rPr>
        <w:t xml:space="preserve"> (Stockroom · Chafing Dish Oval · 10 × ₱185 = </w:t>
      </w:r>
      <w:r>
        <w:rPr>
          <w:rFonts w:ascii="Times New Roman" w:cs="Times New Roman" w:eastAsia="Times New Roman" w:hAnsi="Times New Roman"/>
          <w:b/>
          <w:bCs/>
          <w:sz w:val="22"/>
          <w:szCs w:val="22"/>
          <w:color w:val="1A1A1A"/>
        </w:rPr>
        <w:t xml:space="preserve">₱1,850</w:t>
      </w:r>
      <w:r>
        <w:rPr>
          <w:rFonts w:ascii="Times New Roman" w:cs="Times New Roman" w:eastAsia="Times New Roman" w:hAnsi="Times New Roman"/>
          <w:sz w:val="22"/>
          <w:szCs w:val="22"/>
          <w:color w:val="1A1A1A"/>
        </w:rPr>
        <w:t xml:space="preserve">), which fits within budget.</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Walk through the </w:t>
      </w:r>
      <w:r>
        <w:rPr>
          <w:rFonts w:ascii="Times New Roman" w:cs="Times New Roman" w:eastAsia="Times New Roman" w:hAnsi="Times New Roman"/>
          <w:b/>
          <w:bCs/>
          <w:sz w:val="22"/>
          <w:szCs w:val="22"/>
          <w:color w:val="1A1A1A"/>
        </w:rPr>
        <w:t xml:space="preserve">review checklist</w:t>
      </w:r>
      <w:r>
        <w:rPr>
          <w:rFonts w:ascii="Times New Roman" w:cs="Times New Roman" w:eastAsia="Times New Roman" w:hAnsi="Times New Roman"/>
          <w:sz w:val="22"/>
          <w:szCs w:val="22"/>
          <w:color w:val="1A1A1A"/>
        </w:rPr>
        <w:t xml:space="preserve">. Every item must be ticked before approval is permitted.</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budget basis note</w:t>
      </w:r>
      <w:r>
        <w:rPr>
          <w:rFonts w:ascii="Times New Roman" w:cs="Times New Roman" w:eastAsia="Times New Roman" w:hAnsi="Times New Roman"/>
          <w:sz w:val="22"/>
          <w:szCs w:val="22"/>
          <w:color w:val="1A1A1A"/>
        </w:rPr>
        <w:t xml:space="preserve">: the category allocation, the amount available before approval, and the amount remaining after approval.</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Approve the request. Purchasing is notified and may now acquire the item.</w:t>
      </w:r>
    </w:p>
    <w:p>
      <w:pPr>
        <w:pStyle w:val="Heading2"/>
      </w:pPr>
      <w:r>
        <w:rPr>
          <w:rFonts w:ascii="Times New Roman" w:cs="Times New Roman" w:eastAsia="Times New Roman" w:hAnsi="Times New Roman"/>
          <w:b/>
          <w:bCs/>
          <w:color w:val="1A1A1A"/>
          <w:sz w:val="28"/>
          <w:szCs w:val="28"/>
        </w:rPr>
        <w:t xml:space="preserve">4.2 A Blocked, Over-Budget Request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DK-PR-0002</w:t>
      </w:r>
      <w:r>
        <w:rPr>
          <w:rFonts w:ascii="Times New Roman" w:cs="Times New Roman" w:eastAsia="Times New Roman" w:hAnsi="Times New Roman"/>
          <w:sz w:val="22"/>
          <w:szCs w:val="22"/>
          <w:color w:val="1A1A1A"/>
        </w:rPr>
        <w:t xml:space="preserve"> (Creative · Grand Entrance Arch and Floral Installation · </w:t>
      </w:r>
      <w:r>
        <w:rPr>
          <w:rFonts w:ascii="Times New Roman" w:cs="Times New Roman" w:eastAsia="Times New Roman" w:hAnsi="Times New Roman"/>
          <w:b/>
          <w:bCs/>
          <w:sz w:val="22"/>
          <w:szCs w:val="22"/>
          <w:color w:val="1A1A1A"/>
        </w:rPr>
        <w:t xml:space="preserve">₱48,000</w:t>
      </w:r>
      <w:r>
        <w:rPr>
          <w:rFonts w:ascii="Times New Roman" w:cs="Times New Roman" w:eastAsia="Times New Roman" w:hAnsi="Times New Roman"/>
          <w:sz w:val="22"/>
          <w:szCs w:val="22"/>
          <w:color w:val="1A1A1A"/>
        </w:rPr>
        <w:t xml:space="preserve">) against the ₱15,000 Creative allocation.</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Attempt to approve it. The system </w:t>
      </w:r>
      <w:r>
        <w:rPr>
          <w:rFonts w:ascii="Times New Roman" w:cs="Times New Roman" w:eastAsia="Times New Roman" w:hAnsi="Times New Roman"/>
          <w:b/>
          <w:bCs/>
          <w:sz w:val="22"/>
          <w:szCs w:val="22"/>
          <w:color w:val="1A1A1A"/>
        </w:rPr>
        <w:t xml:space="preserve">blocks the approval</w:t>
      </w:r>
      <w:r>
        <w:rPr>
          <w:rFonts w:ascii="Times New Roman" w:cs="Times New Roman" w:eastAsia="Times New Roman" w:hAnsi="Times New Roman"/>
          <w:sz w:val="22"/>
          <w:szCs w:val="22"/>
          <w:color w:val="1A1A1A"/>
        </w:rPr>
        <w:t xml:space="preserve"> and reports the shortfall between the requested amount and the amount available.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Optionally, return the request with a reason so that Purchasing can revise the quotation, demonstrating the full round trip.</w:t>
      </w:r>
    </w:p>
    <w:p>
      <w:pPr>
        <w:pStyle w:val="Heading2"/>
      </w:pPr>
      <w:r>
        <w:rPr>
          <w:rFonts w:ascii="Times New Roman" w:cs="Times New Roman" w:eastAsia="Times New Roman" w:hAnsi="Times New Roman"/>
          <w:b/>
          <w:bCs/>
          <w:color w:val="1A1A1A"/>
          <w:sz w:val="28"/>
          <w:szCs w:val="28"/>
        </w:rPr>
        <w:t xml:space="preserve">4.3 Point to Emphasise</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“Budget approval is enforced by the system, not by memory.”</w:t>
      </w:r>
    </w:p>
    <w:p>
      <w:pPr>
        <w:pStyle w:val="Heading1"/>
        <w:pageBreakBefore/>
      </w:pPr>
      <w:r>
        <w:rPr>
          <w:rFonts w:ascii="Times New Roman" w:cs="Times New Roman" w:eastAsia="Times New Roman" w:hAnsi="Times New Roman"/>
          <w:b/>
          <w:bCs/>
          <w:color w:val="491321"/>
          <w:sz w:val="40"/>
          <w:szCs w:val="40"/>
        </w:rPr>
        <w:t xml:space="preserve">5. Part 3 — The Reports Module</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“Please navigate to Chapter 13, Section 13.1, Department Reports. This segment is based on that section. Table 13.1 lists what every role receives, and Figure 13.1.1 shows the Reports page we are opening now.”</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§13.1 Department Reports · Table 13.1 Report Contents per Role · Figure 13.1.1 (Reports page)</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4 minutes.</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“Reports are role-based — every department receives its own. Table 13.1 in the manual lists what each role sees. We will show the Accounting report.”</w:t>
      </w:r>
    </w:p>
    <w:p>
      <w:pPr>
        <w:pStyle w:val="Heading2"/>
      </w:pPr>
      <w:r>
        <w:rPr>
          <w:rFonts w:ascii="Times New Roman" w:cs="Times New Roman" w:eastAsia="Times New Roman" w:hAnsi="Times New Roman"/>
          <w:b/>
          <w:bCs/>
          <w:color w:val="1A1A1A"/>
          <w:sz w:val="28"/>
          <w:szCs w:val="28"/>
        </w:rPr>
        <w:t xml:space="preserve">5.1 Procedure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while still signed in as Accounting, and set a wide date range so the charts are populated.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w:t>
      </w:r>
      <w:r>
        <w:rPr>
          <w:rFonts w:ascii="Times New Roman" w:cs="Times New Roman" w:eastAsia="Times New Roman" w:hAnsi="Times New Roman"/>
          <w:b/>
          <w:bCs/>
          <w:sz w:val="22"/>
          <w:szCs w:val="22"/>
          <w:color w:val="1A1A1A"/>
        </w:rPr>
        <w:t xml:space="preserve">summary cards</w:t>
      </w:r>
      <w:r>
        <w:rPr>
          <w:rFonts w:ascii="Times New Roman" w:cs="Times New Roman" w:eastAsia="Times New Roman" w:hAnsi="Times New Roman"/>
          <w:sz w:val="22"/>
          <w:szCs w:val="22"/>
          <w:color w:val="1A1A1A"/>
        </w:rPr>
        <w:t xml:space="preserve">: Contract Revenue, Cash Collected, Accounts Receivable, Overdue A/R, and Available Budget Estimate.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Monthly Collections Trend</w:t>
      </w:r>
      <w:r>
        <w:rPr>
          <w:rFonts w:ascii="Times New Roman" w:cs="Times New Roman" w:eastAsia="Times New Roman" w:hAnsi="Times New Roman"/>
          <w:sz w:val="22"/>
          <w:szCs w:val="22"/>
          <w:color w:val="1A1A1A"/>
        </w:rPr>
        <w:t xml:space="preserve"> — completed client payments over the trailing six months.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Accounts Receivable Aging</w:t>
      </w:r>
      <w:r>
        <w:rPr>
          <w:rFonts w:ascii="Times New Roman" w:cs="Times New Roman" w:eastAsia="Times New Roman" w:hAnsi="Times New Roman"/>
          <w:sz w:val="22"/>
          <w:szCs w:val="22"/>
          <w:color w:val="1A1A1A"/>
        </w:rPr>
        <w:t xml:space="preserve"> chart, then scroll to the </w:t>
      </w:r>
      <w:r>
        <w:rPr>
          <w:rFonts w:ascii="Times New Roman" w:cs="Times New Roman" w:eastAsia="Times New Roman" w:hAnsi="Times New Roman"/>
          <w:b/>
          <w:bCs/>
          <w:sz w:val="22"/>
          <w:szCs w:val="22"/>
          <w:color w:val="1A1A1A"/>
        </w:rPr>
        <w:t xml:space="preserve">A/R Aging Schedule</w:t>
      </w:r>
      <w:r>
        <w:rPr>
          <w:rFonts w:ascii="Times New Roman" w:cs="Times New Roman" w:eastAsia="Times New Roman" w:hAnsi="Times New Roman"/>
          <w:sz w:val="22"/>
          <w:szCs w:val="22"/>
          <w:color w:val="1A1A1A"/>
        </w:rPr>
        <w:t xml:space="preserve">, which ages each balance by the milestone currently owed and lists days overdue and aging bucket.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Financial Position Summary</w:t>
      </w:r>
      <w:r>
        <w:rPr>
          <w:rFonts w:ascii="Times New Roman" w:cs="Times New Roman" w:eastAsia="Times New Roman" w:hAnsi="Times New Roman"/>
          <w:sz w:val="22"/>
          <w:szCs w:val="22"/>
          <w:color w:val="1A1A1A"/>
        </w:rPr>
        <w:t xml:space="preserve">: collections, receivables, confirmed expenses, and open commitments.</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Procurement Budget Register</w:t>
      </w:r>
      <w:r>
        <w:rPr>
          <w:rFonts w:ascii="Times New Roman" w:cs="Times New Roman" w:eastAsia="Times New Roman" w:hAnsi="Times New Roman"/>
          <w:sz w:val="22"/>
          <w:szCs w:val="22"/>
          <w:color w:val="1A1A1A"/>
        </w:rPr>
        <w:t xml:space="preserve">, which links directly back to Part 2.</w:t>
      </w:r>
    </w:p>
    <w:p>
      <w:pPr>
        <w:spacing w:after="80"/>
        <w:ind w:left="480" w:hanging="360"/>
      </w:pPr>
      <w:r>
        <w:rPr>
          <w:rFonts w:ascii="Times New Roman" w:cs="Times New Roman" w:eastAsia="Times New Roman" w:hAnsi="Times New Roman"/>
          <w:b/>
          <w:bCs/>
          <w:sz w:val="22"/>
          <w:szCs w:val="22"/>
          <w:color w:val="1A1A1A"/>
        </w:rPr>
        <w:t xml:space="preserve">7.</w:t>
      </w:r>
      <w:r>
        <w:rPr>
          <w:rFonts w:ascii="Times New Roman" w:cs="Times New Roman" w:eastAsia="Times New Roman" w:hAnsi="Times New Roman"/>
          <w:sz w:val="22"/>
          <w:szCs w:val="22"/>
          <w:color w:val="1A1A1A"/>
        </w:rPr>
        <w:t xml:space="preserve"> Demonstrate </w:t>
      </w:r>
      <w:r>
        <w:rPr>
          <w:rFonts w:ascii="Times New Roman" w:cs="Times New Roman" w:eastAsia="Times New Roman" w:hAnsi="Times New Roman"/>
          <w:b/>
          <w:bCs/>
          <w:sz w:val="22"/>
          <w:szCs w:val="22"/>
          <w:color w:val="1A1A1A"/>
        </w:rPr>
        <w:t xml:space="preserve">Export to Excel</w:t>
      </w:r>
      <w:r>
        <w:rPr>
          <w:rFonts w:ascii="Times New Roman" w:cs="Times New Roman" w:eastAsia="Times New Roman" w:hAnsi="Times New Roman"/>
          <w:sz w:val="22"/>
          <w:szCs w:val="22"/>
          <w:color w:val="1A1A1A"/>
        </w:rPr>
        <w:t xml:space="preserve"> (and Print) live.</w:t>
      </w:r>
    </w:p>
    <w:p>
      <w:pPr>
        <w:spacing w:after="80"/>
        <w:ind w:left="480" w:hanging="360"/>
      </w:pPr>
      <w:r>
        <w:rPr>
          <w:rFonts w:ascii="Times New Roman" w:cs="Times New Roman" w:eastAsia="Times New Roman" w:hAnsi="Times New Roman"/>
          <w:b/>
          <w:bCs/>
          <w:sz w:val="22"/>
          <w:szCs w:val="22"/>
          <w:color w:val="1A1A1A"/>
        </w:rPr>
        <w:t xml:space="preserve">8.</w:t>
      </w:r>
      <w:r>
        <w:rPr>
          <w:rFonts w:ascii="Times New Roman" w:cs="Times New Roman" w:eastAsia="Times New Roman" w:hAnsi="Times New Roman"/>
          <w:sz w:val="22"/>
          <w:szCs w:val="22"/>
          <w:color w:val="1A1A1A"/>
        </w:rPr>
        <w:t xml:space="preserve"> Refer the panel to </w:t>
      </w:r>
      <w:r>
        <w:rPr>
          <w:rFonts w:ascii="Times New Roman" w:cs="Times New Roman" w:eastAsia="Times New Roman" w:hAnsi="Times New Roman"/>
          <w:b/>
          <w:bCs/>
          <w:sz w:val="22"/>
          <w:szCs w:val="22"/>
          <w:color w:val="1A1A1A"/>
        </w:rPr>
        <w:t xml:space="preserve">Table 13.1</w:t>
      </w:r>
      <w:r>
        <w:rPr>
          <w:rFonts w:ascii="Times New Roman" w:cs="Times New Roman" w:eastAsia="Times New Roman" w:hAnsi="Times New Roman"/>
          <w:sz w:val="22"/>
          <w:szCs w:val="22"/>
          <w:color w:val="1A1A1A"/>
        </w:rPr>
        <w:t xml:space="preserve"> and note that Sales, Kitchen, Logistics, Banquet, Purchasing, and the inventory departments each receive their own report from the same engine, while Admin sees all of them.</w:t>
      </w:r>
    </w:p>
    <w:p>
      <w:pPr>
        <w:pStyle w:val="Heading2"/>
      </w:pPr>
      <w:r>
        <w:rPr>
          <w:rFonts w:ascii="Times New Roman" w:cs="Times New Roman" w:eastAsia="Times New Roman" w:hAnsi="Times New Roman"/>
          <w:b/>
          <w:bCs/>
          <w:color w:val="1A1A1A"/>
          <w:sz w:val="28"/>
          <w:szCs w:val="28"/>
        </w:rPr>
        <w:t xml:space="preserve">5.2 Point to Emphasise</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“One reporting engine, role-scoped output, exportable for management use.”</w:t>
      </w:r>
    </w:p>
    <w:p>
      <w:pPr>
        <w:pStyle w:val="Heading1"/>
        <w:pageBreakBefore/>
      </w:pPr>
      <w:r>
        <w:rPr>
          <w:rFonts w:ascii="Times New Roman" w:cs="Times New Roman" w:eastAsia="Times New Roman" w:hAnsi="Times New Roman"/>
          <w:b/>
          <w:bCs/>
          <w:color w:val="491321"/>
          <w:sz w:val="40"/>
          <w:szCs w:val="40"/>
        </w:rPr>
        <w:t xml:space="preserve">6. Part 4 — Closing Scenario</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“Please navigate back to Chapter 4, Sections 4.6 and 4.9 — Payment Holds and Closing the Contract. The scenarios themselves are listed in Section 4.10, and the timing rules behind them are in Appendix A, Table A.1.”</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§4.6 Payment Holds · §4.9 Closing the Contract · §4.10 Accounting Scenarios · Figure 4.6.1 · Appendix A Table A.1</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2 minutes. This part is narrated rather than heavily clicked. Select one of the two options below.</w:t>
      </w:r>
    </w:p>
    <w:p>
      <w:pPr>
        <w:pStyle w:val="Heading2"/>
      </w:pPr>
      <w:r>
        <w:rPr>
          <w:rFonts w:ascii="Times New Roman" w:cs="Times New Roman" w:eastAsia="Times New Roman" w:hAnsi="Times New Roman"/>
          <w:b/>
          <w:bCs/>
          <w:color w:val="1A1A1A"/>
          <w:sz w:val="28"/>
          <w:szCs w:val="28"/>
        </w:rPr>
        <w:t xml:space="preserve">6.1 Option A — A Budget Request Exceeds the Month’s Allocation</w:t>
      </w:r>
    </w:p>
    <w:p>
      <w:pPr>
        <w:spacing w:after="160"/>
      </w:pPr>
      <w:r>
        <w:rPr>
          <w:rFonts w:ascii="Times New Roman" w:cs="Times New Roman" w:eastAsia="Times New Roman" w:hAnsi="Times New Roman"/>
          <w:sz w:val="22"/>
          <w:szCs w:val="22"/>
          <w:color w:val="1A1A1A"/>
        </w:rPr>
        <w:t xml:space="preserve">Recommended, because it follows directly from Parts 1 and 2.</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“Approval is blocked and the shortfall is shown. Accounting either adjusts the monthly allocation or returns the request to Purchasing. The month’s budget holds.”</w:t>
      </w:r>
    </w:p>
    <w:p>
      <w:pPr>
        <w:pStyle w:val="Heading2"/>
      </w:pPr>
      <w:r>
        <w:rPr>
          <w:rFonts w:ascii="Times New Roman" w:cs="Times New Roman" w:eastAsia="Times New Roman" w:hAnsi="Times New Roman"/>
          <w:b/>
          <w:bCs/>
          <w:color w:val="1A1A1A"/>
          <w:sz w:val="28"/>
          <w:szCs w:val="28"/>
        </w:rPr>
        <w:t xml:space="preserve">6.2 Option B — A Payment Is Missed</w:t>
      </w:r>
    </w:p>
    <w:p>
      <w:pPr>
        <w:spacing w:after="160"/>
      </w:pPr>
      <w:r>
        <w:rPr>
          <w:rFonts w:ascii="Times New Roman" w:cs="Times New Roman" w:eastAsia="Times New Roman" w:hAnsi="Times New Roman"/>
          <w:sz w:val="22"/>
          <w:szCs w:val="22"/>
          <w:color w:val="1A1A1A"/>
        </w:rPr>
        <w:t xml:space="preserve">Use this if the panel asks about collections. The escalation runs without human intervention: a follow-up alert one month before the 40% due date, a milestone-due task, a thirty-day aging window, and finally an uncollectible classification. For the remaining 60%, a balance unpaid past its due date </w:t>
      </w:r>
      <w:r>
        <w:rPr>
          <w:rFonts w:ascii="Times New Roman" w:cs="Times New Roman" w:eastAsia="Times New Roman" w:hAnsi="Times New Roman"/>
          <w:b/>
          <w:bCs/>
          <w:sz w:val="22"/>
          <w:szCs w:val="22"/>
          <w:color w:val="1A1A1A"/>
        </w:rPr>
        <w:t xml:space="preserve">automatically places the contract on hold</w:t>
      </w:r>
      <w:r>
        <w:rPr>
          <w:rFonts w:ascii="Times New Roman" w:cs="Times New Roman" w:eastAsia="Times New Roman" w:hAnsi="Times New Roman"/>
          <w:sz w:val="22"/>
          <w:szCs w:val="22"/>
          <w:color w:val="1A1A1A"/>
        </w:rPr>
        <w:t xml:space="preserve">, which blocks preparation and execution until the balance is settled or management releases the hold.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DK-HOLD-001</w:t>
      </w:r>
      <w:r>
        <w:rPr>
          <w:rFonts w:ascii="Times New Roman" w:cs="Times New Roman" w:eastAsia="Times New Roman" w:hAnsi="Times New Roman"/>
          <w:sz w:val="22"/>
          <w:szCs w:val="22"/>
          <w:color w:val="1A1A1A"/>
        </w:rPr>
        <w:t xml:space="preserve"> and show the </w:t>
      </w:r>
      <w:r>
        <w:rPr>
          <w:rFonts w:ascii="Times New Roman" w:cs="Times New Roman" w:eastAsia="Times New Roman" w:hAnsi="Times New Roman"/>
          <w:b/>
          <w:bCs/>
          <w:sz w:val="22"/>
          <w:szCs w:val="22"/>
          <w:color w:val="1A1A1A"/>
        </w:rPr>
        <w:t xml:space="preserve">Final Balance Overdue / On Hold</w:t>
      </w:r>
      <w:r>
        <w:rPr>
          <w:rFonts w:ascii="Times New Roman" w:cs="Times New Roman" w:eastAsia="Times New Roman" w:hAnsi="Times New Roman"/>
          <w:sz w:val="22"/>
          <w:szCs w:val="22"/>
          <w:color w:val="1A1A1A"/>
        </w:rPr>
        <w:t xml:space="preserve"> banner (Figure 4.6.1).</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Explain that once the balance is settled the hold lifts and the contract can proceed.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Refer to </w:t>
      </w:r>
      <w:r>
        <w:rPr>
          <w:rFonts w:ascii="Times New Roman" w:cs="Times New Roman" w:eastAsia="Times New Roman" w:hAnsi="Times New Roman"/>
          <w:b/>
          <w:bCs/>
          <w:sz w:val="22"/>
          <w:szCs w:val="22"/>
          <w:color w:val="1A1A1A"/>
        </w:rPr>
        <w:t xml:space="preserve">Table A.1</w:t>
      </w:r>
      <w:r>
        <w:rPr>
          <w:rFonts w:ascii="Times New Roman" w:cs="Times New Roman" w:eastAsia="Times New Roman" w:hAnsi="Times New Roman"/>
          <w:sz w:val="22"/>
          <w:szCs w:val="22"/>
          <w:color w:val="1A1A1A"/>
        </w:rPr>
        <w:t xml:space="preserve">, noting that these timings are Juan Carlo’s own business rules, documented in Appendix H of the thesis and enforced by the system.</w:t>
      </w:r>
    </w:p>
    <w:p>
      <w:pPr>
        <w:pStyle w:val="Heading2"/>
      </w:pPr>
      <w:r>
        <w:rPr>
          <w:rFonts w:ascii="Times New Roman" w:cs="Times New Roman" w:eastAsia="Times New Roman" w:hAnsi="Times New Roman"/>
          <w:b/>
          <w:bCs/>
          <w:color w:val="1A1A1A"/>
          <w:sz w:val="28"/>
          <w:szCs w:val="28"/>
        </w:rPr>
        <w:t xml:space="preserve">6.3 Completing the Contract</w:t>
      </w:r>
    </w:p>
    <w:p>
      <w:pPr>
        <w:spacing w:after="160"/>
      </w:pPr>
      <w:r>
        <w:rPr>
          <w:rFonts w:ascii="Times New Roman" w:cs="Times New Roman" w:eastAsia="Times New Roman" w:hAnsi="Times New Roman"/>
          <w:sz w:val="22"/>
          <w:szCs w:val="22"/>
          <w:color w:val="1A1A1A"/>
        </w:rPr>
        <w:t xml:space="preserve">When the event has passed and every department has recorded its post-event checks, the contract stage changes to </w:t>
      </w:r>
      <w:r>
        <w:rPr>
          <w:rFonts w:ascii="Times New Roman" w:cs="Times New Roman" w:eastAsia="Times New Roman" w:hAnsi="Times New Roman"/>
          <w:b/>
          <w:bCs/>
          <w:sz w:val="22"/>
          <w:szCs w:val="22"/>
          <w:color w:val="1A1A1A"/>
        </w:rPr>
        <w:t xml:space="preserve">Awaiting Contract Close</w:t>
      </w:r>
      <w:r>
        <w:rPr>
          <w:rFonts w:ascii="Times New Roman" w:cs="Times New Roman" w:eastAsia="Times New Roman" w:hAnsi="Times New Roman"/>
          <w:sz w:val="22"/>
          <w:szCs w:val="22"/>
          <w:color w:val="1A1A1A"/>
        </w:rPr>
        <w:t xml:space="preserve"> and Accounting receives a </w:t>
      </w:r>
      <w:r>
        <w:rPr>
          <w:rFonts w:ascii="Times New Roman" w:cs="Times New Roman" w:eastAsia="Times New Roman" w:hAnsi="Times New Roman"/>
          <w:b/>
          <w:bCs/>
          <w:sz w:val="22"/>
          <w:szCs w:val="22"/>
          <w:color w:val="1A1A1A"/>
        </w:rPr>
        <w:t xml:space="preserve">Ready to close</w:t>
      </w:r>
      <w:r>
        <w:rPr>
          <w:rFonts w:ascii="Times New Roman" w:cs="Times New Roman" w:eastAsia="Times New Roman" w:hAnsi="Times New Roman"/>
          <w:sz w:val="22"/>
          <w:szCs w:val="22"/>
          <w:color w:val="1A1A1A"/>
        </w:rPr>
        <w:t xml:space="preserve"> notification. Closing requires the event date to have passed, the balance to be fully collected, the logistics booking to be completed, and no pending post-event checks (§4.9).</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DK-CLOSE-001</w:t>
      </w:r>
      <w:r>
        <w:rPr>
          <w:rFonts w:ascii="Times New Roman" w:cs="Times New Roman" w:eastAsia="Times New Roman" w:hAnsi="Times New Roman"/>
          <w:sz w:val="22"/>
          <w:szCs w:val="22"/>
          <w:color w:val="1A1A1A"/>
        </w:rPr>
        <w:t xml:space="preserve">, which satisfies all four conditions, and show the </w:t>
      </w:r>
      <w:r>
        <w:rPr>
          <w:rFonts w:ascii="Times New Roman" w:cs="Times New Roman" w:eastAsia="Times New Roman" w:hAnsi="Times New Roman"/>
          <w:b/>
          <w:bCs/>
          <w:sz w:val="22"/>
          <w:szCs w:val="22"/>
          <w:color w:val="1A1A1A"/>
        </w:rPr>
        <w:t xml:space="preserve">Awaiting Contract Close</w:t>
      </w:r>
      <w:r>
        <w:rPr>
          <w:rFonts w:ascii="Times New Roman" w:cs="Times New Roman" w:eastAsia="Times New Roman" w:hAnsi="Times New Roman"/>
          <w:sz w:val="22"/>
          <w:szCs w:val="22"/>
          <w:color w:val="1A1A1A"/>
        </w:rPr>
        <w:t xml:space="preserve"> stage and the </w:t>
      </w:r>
      <w:r>
        <w:rPr>
          <w:rFonts w:ascii="Times New Roman" w:cs="Times New Roman" w:eastAsia="Times New Roman" w:hAnsi="Times New Roman"/>
          <w:b/>
          <w:bCs/>
          <w:sz w:val="22"/>
          <w:szCs w:val="22"/>
          <w:color w:val="1A1A1A"/>
        </w:rPr>
        <w:t xml:space="preserve">Close Contract</w:t>
      </w:r>
      <w:r>
        <w:rPr>
          <w:rFonts w:ascii="Times New Roman" w:cs="Times New Roman" w:eastAsia="Times New Roman" w:hAnsi="Times New Roman"/>
          <w:sz w:val="22"/>
          <w:szCs w:val="22"/>
          <w:color w:val="1A1A1A"/>
        </w:rPr>
        <w:t xml:space="preserve"> action.</w:t>
      </w:r>
    </w:p>
    <w:p>
      <w:pPr>
        <w:pStyle w:val="Heading1"/>
        <w:pageBreakBefore/>
      </w:pPr>
      <w:r>
        <w:rPr>
          <w:rFonts w:ascii="Times New Roman" w:cs="Times New Roman" w:eastAsia="Times New Roman" w:hAnsi="Times New Roman"/>
          <w:b/>
          <w:bCs/>
          <w:color w:val="491321"/>
          <w:sz w:val="40"/>
          <w:szCs w:val="40"/>
        </w:rPr>
        <w:t xml:space="preserve">7. Part 5 — Scenario Spotlights</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“For this last part, please navigate to Section 13.3, Incidents. The two scenarios we are showing are also written up in the department chapters — Sections 5.7, 6.7, and 7.8 for the inventory departments, and Section 11.3 for how Purchasing processes the resulting request.”</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§4.7 · §11.3 Processing a Request · §13.3 Incidents · §5.7 / 6.7 / 7.8 Department Scenarios · Figures 13.3.1 and 13.3.2</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3 minutes. Two short scenarios that feed directly into the two modules already shown: the first explains where a budget request originates, the second shows how an operational problem reaches the reports. Neither requires revisiting the contract journey — each begins from an existing record.</w:t>
      </w:r>
    </w:p>
    <w:p>
      <w:pPr>
        <w:pStyle w:val="Heading2"/>
      </w:pPr>
      <w:r>
        <w:rPr>
          <w:rFonts w:ascii="Times New Roman" w:cs="Times New Roman" w:eastAsia="Times New Roman" w:hAnsi="Times New Roman"/>
          <w:b/>
          <w:bCs/>
          <w:color w:val="1A1A1A"/>
          <w:sz w:val="28"/>
          <w:szCs w:val="28"/>
        </w:rPr>
        <w:t xml:space="preserve">7.1 Scenario A — Two Events on One Day and an Item Runs Short</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“Two events fall on the same date and there is not enough stock for both. This is where the budget requests you just approved actually come from.”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same-day pair </w:t>
      </w:r>
      <w:r>
        <w:rPr>
          <w:rFonts w:ascii="Times New Roman" w:cs="Times New Roman" w:eastAsia="Times New Roman" w:hAnsi="Times New Roman"/>
          <w:b/>
          <w:bCs/>
          <w:sz w:val="22"/>
          <w:szCs w:val="22"/>
          <w:color w:val="1A1A1A"/>
        </w:rPr>
        <w:t xml:space="preserve">DK-SAMEDAY-A</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DK-SAMEDAY-B</w:t>
      </w:r>
      <w:r>
        <w:rPr>
          <w:rFonts w:ascii="Times New Roman" w:cs="Times New Roman" w:eastAsia="Times New Roman" w:hAnsi="Times New Roman"/>
          <w:sz w:val="22"/>
          <w:szCs w:val="22"/>
          <w:color w:val="1A1A1A"/>
        </w:rPr>
        <w:t xml:space="preserve">, both scheduled on the same event date.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Show that item availability is calculated </w:t>
      </w:r>
      <w:r>
        <w:rPr>
          <w:rFonts w:ascii="Times New Roman" w:cs="Times New Roman" w:eastAsia="Times New Roman" w:hAnsi="Times New Roman"/>
          <w:b/>
          <w:bCs/>
          <w:sz w:val="22"/>
          <w:szCs w:val="22"/>
          <w:color w:val="1A1A1A"/>
        </w:rPr>
        <w:t xml:space="preserve">per event date</w:t>
      </w:r>
      <w:r>
        <w:rPr>
          <w:rFonts w:ascii="Times New Roman" w:cs="Times New Roman" w:eastAsia="Times New Roman" w:hAnsi="Times New Roman"/>
          <w:sz w:val="22"/>
          <w:szCs w:val="22"/>
          <w:color w:val="1A1A1A"/>
        </w:rPr>
        <w:t xml:space="preserve">: the quantity already committed to the first event is unavailable to the second, and the system proposes same-day alternatives.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Explain the department’s decision when no alternative covers the shortage — the item is either </w:t>
      </w:r>
      <w:r>
        <w:rPr>
          <w:rFonts w:ascii="Times New Roman" w:cs="Times New Roman" w:eastAsia="Times New Roman" w:hAnsi="Times New Roman"/>
          <w:b/>
          <w:bCs/>
          <w:sz w:val="22"/>
          <w:szCs w:val="22"/>
          <w:color w:val="1A1A1A"/>
        </w:rPr>
        <w:t xml:space="preserve">purchased</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rented</w:t>
      </w:r>
      <w:r>
        <w:rPr>
          <w:rFonts w:ascii="Times New Roman" w:cs="Times New Roman" w:eastAsia="Times New Roman" w:hAnsi="Times New Roman"/>
          <w:sz w:val="22"/>
          <w:szCs w:val="22"/>
          <w:color w:val="1A1A1A"/>
        </w:rPr>
        <w:t xml:space="preserve">. Company practice is to look for a purchase first and turn to rental only when the item cannot be bought or is needed once.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Show the two live examples in the approval queue, both raised from this same shortage: </w:t>
      </w:r>
      <w:r>
        <w:rPr>
          <w:rFonts w:ascii="Times New Roman" w:cs="Times New Roman" w:eastAsia="Times New Roman" w:hAnsi="Times New Roman"/>
          <w:b/>
          <w:bCs/>
          <w:sz w:val="22"/>
          <w:szCs w:val="22"/>
          <w:color w:val="1A1A1A"/>
        </w:rPr>
        <w:t xml:space="preserve">DK-PR-0003</w:t>
      </w:r>
      <w:r>
        <w:rPr>
          <w:rFonts w:ascii="Times New Roman" w:cs="Times New Roman" w:eastAsia="Times New Roman" w:hAnsi="Times New Roman"/>
          <w:sz w:val="22"/>
          <w:szCs w:val="22"/>
          <w:color w:val="1A1A1A"/>
        </w:rPr>
        <w:t xml:space="preserve"> (Linen · short 180 · </w:t>
      </w:r>
      <w:r>
        <w:rPr>
          <w:rFonts w:ascii="Times New Roman" w:cs="Times New Roman" w:eastAsia="Times New Roman" w:hAnsi="Times New Roman"/>
          <w:b/>
          <w:bCs/>
          <w:sz w:val="22"/>
          <w:szCs w:val="22"/>
          <w:color w:val="1A1A1A"/>
        </w:rPr>
        <w:t xml:space="preserve">purchase</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DK-PR-0004</w:t>
      </w:r>
      <w:r>
        <w:rPr>
          <w:rFonts w:ascii="Times New Roman" w:cs="Times New Roman" w:eastAsia="Times New Roman" w:hAnsi="Times New Roman"/>
          <w:sz w:val="22"/>
          <w:szCs w:val="22"/>
          <w:color w:val="1A1A1A"/>
        </w:rPr>
        <w:t xml:space="preserve"> (Stockroom · Reception Tent 10 × 20 m · short 1 · </w:t>
      </w:r>
      <w:r>
        <w:rPr>
          <w:rFonts w:ascii="Times New Roman" w:cs="Times New Roman" w:eastAsia="Times New Roman" w:hAnsi="Times New Roman"/>
          <w:b/>
          <w:bCs/>
          <w:sz w:val="22"/>
          <w:szCs w:val="22"/>
          <w:color w:val="1A1A1A"/>
        </w:rPr>
        <w:t xml:space="preserve">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Connect it back to Part 2: whichever route is chosen, the request reaches Accounting for the budget check before any money is released, and must respect the seven-day requisition lead time.</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State accurately: </w:t>
      </w:r>
      <w:r>
        <w:rPr>
          <w:rFonts w:ascii="Times New Roman" w:cs="Times New Roman" w:eastAsia="Times New Roman" w:hAnsi="Times New Roman"/>
          <w:color w:val="1A1A1A"/>
          <w:sz w:val="20"/>
          <w:szCs w:val="20"/>
        </w:rPr>
        <w:t xml:space="preserve">the requesting department chooses purchase or rental and the system records that choice; the “purchase first, rental second” preference is company practice, not a rule the system enforces.</w:t>
      </w:r>
    </w:p>
    <w:p>
      <w:pPr>
        <w:pStyle w:val="Heading2"/>
      </w:pPr>
      <w:r>
        <w:rPr>
          <w:rFonts w:ascii="Times New Roman" w:cs="Times New Roman" w:eastAsia="Times New Roman" w:hAnsi="Times New Roman"/>
          <w:b/>
          <w:bCs/>
          <w:color w:val="1A1A1A"/>
          <w:sz w:val="28"/>
          <w:szCs w:val="28"/>
        </w:rPr>
        <w:t xml:space="preserve">7.2 Scenario B — An Item Is Damaged During the Event</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“After an event, departments verify what came back. When something is damaged or missing, it is recorded against the contract rather than quietly written off.”</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 and show the register — damaged equipment, missing items, burnt cloth from food heaters, and food spoilage are all represented.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an example such as the </w:t>
      </w:r>
      <w:r>
        <w:rPr>
          <w:rFonts w:ascii="Times New Roman" w:cs="Times New Roman" w:eastAsia="Times New Roman" w:hAnsi="Times New Roman"/>
          <w:b/>
          <w:bCs/>
          <w:sz w:val="22"/>
          <w:szCs w:val="22"/>
          <w:color w:val="1A1A1A"/>
        </w:rPr>
        <w:t xml:space="preserve">damaged Gold Centerpiece Set</w:t>
      </w:r>
      <w:r>
        <w:rPr>
          <w:rFonts w:ascii="Times New Roman" w:cs="Times New Roman" w:eastAsia="Times New Roman" w:hAnsi="Times New Roman"/>
          <w:sz w:val="22"/>
          <w:szCs w:val="22"/>
          <w:color w:val="1A1A1A"/>
        </w:rPr>
        <w:t xml:space="preserve"> or the </w:t>
      </w:r>
      <w:r>
        <w:rPr>
          <w:rFonts w:ascii="Times New Roman" w:cs="Times New Roman" w:eastAsia="Times New Roman" w:hAnsi="Times New Roman"/>
          <w:b/>
          <w:bCs/>
          <w:sz w:val="22"/>
          <w:szCs w:val="22"/>
          <w:color w:val="1A1A1A"/>
        </w:rPr>
        <w:t xml:space="preserve">missing Portable PA System</w:t>
      </w:r>
      <w:r>
        <w:rPr>
          <w:rFonts w:ascii="Times New Roman" w:cs="Times New Roman" w:eastAsia="Times New Roman" w:hAnsi="Times New Roman"/>
          <w:sz w:val="22"/>
          <w:szCs w:val="22"/>
          <w:color w:val="1A1A1A"/>
        </w:rPr>
        <w:t xml:space="preserve">, showing the type, severity, status, affected quantity, and optional photograph.</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Explain that during post-event checking a department clicks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on the item instead of marking it returned; the contract and item are filled in automatically.</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Note the accountability rule: the variance carries into the missing-and-damaged summary, and unresolved losses may be charged unless the supervisor files a valid counter-report.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Connect it back to Part 3: incidents appear in the department reports, so management sees them without asking.</w:t>
      </w:r>
    </w:p>
    <w:p>
      <w:pPr>
        <w:pStyle w:val="Heading2"/>
      </w:pPr>
      <w:r>
        <w:rPr>
          <w:rFonts w:ascii="Times New Roman" w:cs="Times New Roman" w:eastAsia="Times New Roman" w:hAnsi="Times New Roman"/>
          <w:b/>
          <w:bCs/>
          <w:color w:val="1A1A1A"/>
          <w:sz w:val="28"/>
          <w:szCs w:val="28"/>
        </w:rPr>
        <w:t xml:space="preserve">7.3 Scenarios Already Covered Earlier</w:t>
      </w:r>
    </w:p>
    <w:p>
      <w:pPr>
        <w:spacing w:after="160"/>
      </w:pPr>
      <w:r>
        <w:rPr>
          <w:rFonts w:ascii="Times New Roman" w:cs="Times New Roman" w:eastAsia="Times New Roman" w:hAnsi="Times New Roman"/>
          <w:sz w:val="22"/>
          <w:szCs w:val="22"/>
          <w:color w:val="1A1A1A"/>
        </w:rPr>
        <w:t xml:space="preserve">Two of the operational scenarios have already been demonstrated and do not need repeating:</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 contract with a late payment</w:t>
      </w:r>
      <w:r>
        <w:rPr>
          <w:rFonts w:ascii="Times New Roman" w:cs="Times New Roman" w:eastAsia="Times New Roman" w:hAnsi="Times New Roman"/>
          <w:sz w:val="22"/>
          <w:szCs w:val="22"/>
          <w:color w:val="1A1A1A"/>
        </w:rPr>
        <w:t xml:space="preserve"> — the automatic hold, the notifications that precede it, and its release were shown in Part 4 (§4.6).</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 budget request rejected by Accounting</w:t>
      </w:r>
      <w:r>
        <w:rPr>
          <w:rFonts w:ascii="Times New Roman" w:cs="Times New Roman" w:eastAsia="Times New Roman" w:hAnsi="Times New Roman"/>
          <w:sz w:val="22"/>
          <w:szCs w:val="22"/>
          <w:color w:val="1A1A1A"/>
        </w:rPr>
        <w:t xml:space="preserve"> — the block and the return-with-reason round trip were shown in Part 2 (§4.7).</w:t>
      </w:r>
    </w:p>
    <w:p>
      <w:pPr>
        <w:pStyle w:val="Heading1"/>
        <w:pageBreakBefore/>
      </w:pPr>
      <w:r>
        <w:rPr>
          <w:rFonts w:ascii="Times New Roman" w:cs="Times New Roman" w:eastAsia="Times New Roman" w:hAnsi="Times New Roman"/>
          <w:b/>
          <w:bCs/>
          <w:color w:val="491321"/>
          <w:sz w:val="40"/>
          <w:szCs w:val="40"/>
        </w:rPr>
        <w:t xml:space="preserve">8. Revisions Demonstrated</w:t>
      </w:r>
    </w:p>
    <w:p>
      <w:pPr>
        <w:spacing w:after="160"/>
      </w:pPr>
      <w:r>
        <w:rPr>
          <w:rFonts w:ascii="Times New Roman" w:cs="Times New Roman" w:eastAsia="Times New Roman" w:hAnsi="Times New Roman"/>
          <w:sz w:val="22"/>
          <w:szCs w:val="22"/>
          <w:color w:val="1A1A1A"/>
        </w:rPr>
        <w:t xml:space="preserve">The revisions below are the ones visible during this demonstration. They are drawn from the two-week development cycle of 22 to 29 July 2026.</w:t>
      </w:r>
    </w:p>
    <w:p>
      <w:pPr>
        <w:pStyle w:val="Heading2"/>
      </w:pPr>
      <w:r>
        <w:rPr>
          <w:rFonts w:ascii="Times New Roman" w:cs="Times New Roman" w:eastAsia="Times New Roman" w:hAnsi="Times New Roman"/>
          <w:b/>
          <w:bCs/>
          <w:color w:val="1A1A1A"/>
          <w:sz w:val="28"/>
          <w:szCs w:val="28"/>
        </w:rPr>
        <w:t xml:space="preserve">8.1 Revisions Shown Directly</w:t>
      </w:r>
    </w:p>
    <w:p>
      <w:pPr>
        <w:spacing w:after="80" w:before="60"/>
      </w:pPr>
      <w:r>
        <w:rPr>
          <w:rFonts w:ascii="Times New Roman" w:cs="Times New Roman" w:eastAsia="Times New Roman" w:hAnsi="Times New Roman"/>
          <w:b/>
          <w:bCs/>
          <w:color w:val="491321"/>
          <w:sz w:val="20"/>
          <w:szCs w:val="20"/>
        </w:rPr>
        <w:t xml:space="preserve">Table 8.1 Revisions Demonstrated in Each Part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2500"/>
        <w:gridCol w:w="2300"/>
      </w:tblGrid>
      <w:tr>
        <w:trPr>
          <w:tblHeader/>
        </w:trPr>
        <w:tc>
          <w:tcPr>
            <w:tcW w:type="dxa" w:w="1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Part</w:t>
            </w:r>
          </w:p>
        </w:tc>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Revision</w:t>
            </w:r>
          </w:p>
        </w:tc>
        <w:tc>
          <w:tcPr>
            <w:tcW w:type="dxa" w:w="25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the Panel Sees</w:t>
            </w:r>
          </w:p>
        </w:tc>
        <w:tc>
          <w:tcPr>
            <w:tcW w:type="dxa" w:w="2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Monthly operating budget with data-derived suggestion</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editor; amounts proposed from the trailing three-month average of confirmed spend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check enforced at procurement approval</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over-budget request blocked with the shortfall shown</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Sorting filters for the Accounting approval queue</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Newest first, oldest first, by event date, by date needed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Expanded department reports</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 aging, collections trend, financial position, procurement register, Excel export</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 · Table 13.1</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Two-decimal monetary correction</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Balances settle exactly, which makes final payment and contract closing possible</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§4.4</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New “Awaiting Contract Close” stage</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contract stage after post-event checks are complete</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§4.9</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“Ready to close” notification for Accounting</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is told when a contract may be closed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§4.2 · Table 4.2</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payment hold</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overdue final balance blocks preparation until settled or released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§4.6</w:t>
            </w:r>
          </w:p>
        </w:tc>
      </w:tr>
    </w:tbl>
    <w:p>
      <w:pPr>
        <w:spacing w:after="160"/>
      </w:pPr>
    </w:p>
    <w:p>
      <w:pPr>
        <w:pStyle w:val="Heading2"/>
      </w:pPr>
      <w:r>
        <w:rPr>
          <w:rFonts w:ascii="Times New Roman" w:cs="Times New Roman" w:eastAsia="Times New Roman" w:hAnsi="Times New Roman"/>
          <w:b/>
          <w:bCs/>
          <w:color w:val="1A1A1A"/>
          <w:sz w:val="28"/>
          <w:szCs w:val="28"/>
        </w:rPr>
        <w:t xml:space="preserve">8.2 Revisions Visible Throughout</w:t>
      </w:r>
    </w:p>
    <w:p>
      <w:pPr>
        <w:spacing w:after="160"/>
      </w:pPr>
      <w:r>
        <w:rPr>
          <w:rFonts w:ascii="Times New Roman" w:cs="Times New Roman" w:eastAsia="Times New Roman" w:hAnsi="Times New Roman"/>
          <w:sz w:val="22"/>
          <w:szCs w:val="22"/>
          <w:color w:val="1A1A1A"/>
        </w:rPr>
        <w:t xml:space="preserve">These require no additional navigation and may be pointed out at any time during the demonstration.</w:t>
      </w:r>
    </w:p>
    <w:p>
      <w:pPr>
        <w:spacing w:after="80" w:before="60"/>
      </w:pPr>
      <w:r>
        <w:rPr>
          <w:rFonts w:ascii="Times New Roman" w:cs="Times New Roman" w:eastAsia="Times New Roman" w:hAnsi="Times New Roman"/>
          <w:b/>
          <w:bCs/>
          <w:color w:val="491321"/>
          <w:sz w:val="20"/>
          <w:szCs w:val="20"/>
        </w:rPr>
        <w:t xml:space="preserve">Table 8.2 Revisions Visible Throughout the Demonstration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2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Revision</w:t>
            </w:r>
          </w:p>
        </w:tc>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the Panel Sees</w:t>
            </w:r>
          </w:p>
        </w:tc>
        <w:tc>
          <w:tcPr>
            <w:tcW w:type="dxa" w:w="2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Financial confidentiality</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appear only for Sales, Accounting, and Admin — on screen and in exported PDFs</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4.3 · Table A.2</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statuses with colour and owner</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stage is colour coded and names the department that holds the contract</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Chapters 2–4</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Completed-action “Done” tag</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notification whose task is finished is tagged green Done rather than red High</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§2.5 · Table 2.2</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Dismissible, stacking notifications</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notification can be dismissed; simultaneous pop-ups no longer cover one another</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§2.5</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Notification housekeeping</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Notifications of deleted contracts are removed; those of closed contracts expire automatically</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§2.5</w:t>
            </w:r>
          </w:p>
        </w:tc>
      </w:tr>
    </w:tbl>
    <w:p>
      <w:pPr>
        <w:spacing w:after="160"/>
      </w:pPr>
    </w:p>
    <w:p>
      <w:pPr>
        <w:pStyle w:val="Heading2"/>
      </w:pPr>
      <w:r>
        <w:rPr>
          <w:rFonts w:ascii="Times New Roman" w:cs="Times New Roman" w:eastAsia="Times New Roman" w:hAnsi="Times New Roman"/>
          <w:b/>
          <w:bCs/>
          <w:color w:val="1A1A1A"/>
          <w:sz w:val="28"/>
          <w:szCs w:val="28"/>
        </w:rPr>
        <w:t xml:space="preserve">8.3 Revisions Not Demonstrated but Available if Raised</w:t>
      </w:r>
    </w:p>
    <w:p>
      <w:pPr>
        <w:spacing w:after="160"/>
      </w:pPr>
      <w:r>
        <w:rPr>
          <w:rFonts w:ascii="Times New Roman" w:cs="Times New Roman" w:eastAsia="Times New Roman" w:hAnsi="Times New Roman"/>
          <w:sz w:val="22"/>
          <w:szCs w:val="22"/>
          <w:color w:val="1A1A1A"/>
        </w:rPr>
        <w:t xml:space="preserve">These belong to the departments outside the scope of this demonstration. Each has a documented scenario section in the manual, which may be referred to rather than improvised.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Staff transportation</w:t>
      </w:r>
      <w:r>
        <w:rPr>
          <w:rFonts w:ascii="Times New Roman" w:cs="Times New Roman" w:eastAsia="Times New Roman" w:hAnsi="Times New Roman"/>
          <w:sz w:val="22"/>
          <w:szCs w:val="22"/>
          <w:color w:val="1A1A1A"/>
        </w:rPr>
        <w:t xml:space="preserve"> — a separate passenger-vehicle booking so personnel never travel in a cargo truck, sized by headcount and seat capacity, with a driver required for every vehicle (§10.4).</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The complete logistics round trip</w:t>
      </w:r>
      <w:r>
        <w:rPr>
          <w:rFonts w:ascii="Times New Roman" w:cs="Times New Roman" w:eastAsia="Times New Roman" w:hAnsi="Times New Roman"/>
          <w:sz w:val="22"/>
          <w:szCs w:val="22"/>
          <w:color w:val="1A1A1A"/>
        </w:rPr>
        <w:t xml:space="preserve"> — load manifest including kitchen items, department load readiness, driver pickup checklist, return checklist, and return reconciliation (§10.5–10.6).</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Kitchen preparation windows</w:t>
      </w:r>
      <w:r>
        <w:rPr>
          <w:rFonts w:ascii="Times New Roman" w:cs="Times New Roman" w:eastAsia="Times New Roman" w:hAnsi="Times New Roman"/>
          <w:sz w:val="22"/>
          <w:szCs w:val="22"/>
          <w:color w:val="1A1A1A"/>
        </w:rPr>
        <w:t xml:space="preserve"> — sourcing alert two weeks before the event and a preparation alert seven days before, with menu-tasting comments carried into the kitchen checklist (§8.2–8.5).</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Enforced business rules</w:t>
      </w:r>
      <w:r>
        <w:rPr>
          <w:rFonts w:ascii="Times New Roman" w:cs="Times New Roman" w:eastAsia="Times New Roman" w:hAnsi="Times New Roman"/>
          <w:sz w:val="22"/>
          <w:szCs w:val="22"/>
          <w:color w:val="1A1A1A"/>
        </w:rPr>
        <w:t xml:space="preserve"> — material freeze, banquet roster freeze, same-day conflict prevention, tasting-slot conflict, the one-waiter-per-twenty-five-guests ratio, and Metro Manila number coding (Tables 9.2, 10.2, A.1, A.2).</w:t>
      </w:r>
    </w:p>
    <w:p>
      <w:pPr>
        <w:pStyle w:val="Heading1"/>
        <w:pageBreakBefore/>
      </w:pPr>
      <w:r>
        <w:rPr>
          <w:rFonts w:ascii="Times New Roman" w:cs="Times New Roman" w:eastAsia="Times New Roman" w:hAnsi="Times New Roman"/>
          <w:b/>
          <w:bCs/>
          <w:color w:val="491321"/>
          <w:sz w:val="40"/>
          <w:szCs w:val="40"/>
        </w:rPr>
        <w:t xml:space="preserve">9. Anticipated Questions</w:t>
      </w:r>
    </w:p>
    <w:p>
      <w:pPr>
        <w:spacing w:after="80" w:before="60"/>
      </w:pPr>
      <w:r>
        <w:rPr>
          <w:rFonts w:ascii="Times New Roman" w:cs="Times New Roman" w:eastAsia="Times New Roman" w:hAnsi="Times New Roman"/>
          <w:b/>
          <w:bCs/>
          <w:color w:val="491321"/>
          <w:sz w:val="20"/>
          <w:szCs w:val="20"/>
        </w:rPr>
        <w:t xml:space="preserve">Table 9.1 Anticipated Questions and Where to Answer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1800"/>
      </w:tblGrid>
      <w:tr>
        <w:trPr>
          <w:tblHeader/>
        </w:trPr>
        <w:tc>
          <w:tcPr>
            <w:tcW w:type="dxa" w:w="3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Question</w:t>
            </w:r>
          </w:p>
        </w:tc>
        <w:tc>
          <w:tcPr>
            <w:tcW w:type="dxa" w:w="3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Answer</w:t>
            </w:r>
          </w:p>
        </w:tc>
        <w:tc>
          <w:tcPr>
            <w:tcW w:type="dxa" w:w="1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Reference</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Is the budget monthly, annual, or semi-annual?</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Currently monthly — Accounting sets it each month. The period was not specified in the requirements, so monthly was implemented; it is an open item for confirmation with the client.</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Where does the suggested amount come from?</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trailing three-month average of confirmed procurement spend for Creative, Linen, and Stockroom; the standard template for the remaining categories.</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What prevents overspending?</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budget check performed at the moment of approval, demonstrated in Part 2.</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Are these your rules or the client’s?</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client’s documented business rules, recorded in Appendix H of the thesis and summarised in the manual.</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4.3 · Table A.1</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 other departments see contract values?</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Package price and total contract value are restricted to Sales, Accounting, and Admin, both on screen and in exported documents.</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A.2</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 reports be used outside the system?</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Yes. Every report can be printed and exported to Excel, as demonstrated in Part 3.</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What happens if a client cancels?</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system records the cancellation together with the reason from the formal cancellation letter. The refund percentage and any conversion of the event remain management decisions requiring executive review; the reservation fee is non-refundable by policy.</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4.3</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Is the system deployed?</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 yet. Deployment follows a successful defense.</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r>
    </w:tbl>
    <w:p>
      <w:pPr>
        <w:spacing w:after="160"/>
      </w:pPr>
    </w:p>
    <w:p>
      <w:pPr>
        <w:pStyle w:val="Heading1"/>
        <w:pageBreakBefore/>
      </w:pPr>
      <w:r>
        <w:rPr>
          <w:rFonts w:ascii="Times New Roman" w:cs="Times New Roman" w:eastAsia="Times New Roman" w:hAnsi="Times New Roman"/>
          <w:b/>
          <w:bCs/>
          <w:color w:val="491321"/>
          <w:sz w:val="40"/>
          <w:szCs w:val="40"/>
        </w:rPr>
        <w:t xml:space="preserve">10. Timing</w:t>
      </w:r>
    </w:p>
    <w:p>
      <w:pPr>
        <w:spacing w:after="80" w:before="60"/>
      </w:pPr>
      <w:r>
        <w:rPr>
          <w:rFonts w:ascii="Times New Roman" w:cs="Times New Roman" w:eastAsia="Times New Roman" w:hAnsi="Times New Roman"/>
          <w:b/>
          <w:bCs/>
          <w:color w:val="491321"/>
          <w:sz w:val="20"/>
          <w:szCs w:val="20"/>
        </w:rPr>
        <w:t xml:space="preserve">Table 10.1 Indicative Timing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2400"/>
        <w:gridCol w:w="2300"/>
      </w:tblGrid>
      <w:tr>
        <w:trPr>
          <w:tblHeader/>
        </w:trPr>
        <w:tc>
          <w:tcPr>
            <w:tcW w:type="dxa" w:w="4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Segment</w:t>
            </w:r>
          </w:p>
        </w:tc>
        <w:tc>
          <w:tcPr>
            <w:tcW w:type="dxa" w:w="2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Duration</w:t>
            </w:r>
          </w:p>
        </w:tc>
        <w:tc>
          <w:tcPr>
            <w:tcW w:type="dxa" w:w="2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Opening statement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 seconds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 of this outline</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1 — Monthly operating budget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2 — Budget as a control</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3 — Reports module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4 — Closing scenario</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§4.6 · §4.9 · §4.10</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5 — Scenario spotlights</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§11.3 · §13.3</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Questions</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Remaining time</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9.1</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Total demonstration</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Approximately 15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r>
    </w:tbl>
    <w:p>
      <w:pPr>
        <w:spacing w:after="160"/>
      </w:pP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Reminder: </w:t>
      </w:r>
      <w:r>
        <w:rPr>
          <w:rFonts w:ascii="Times New Roman" w:cs="Times New Roman" w:eastAsia="Times New Roman" w:hAnsi="Times New Roman"/>
          <w:color w:val="1A1A1A"/>
          <w:sz w:val="20"/>
          <w:szCs w:val="20"/>
        </w:rPr>
        <w:t xml:space="preserve">nothing needs to be restored afterwards. To reset for a second run — or if a record was approved during a rehearsal — simply run `npm run seed:demokit` again.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999999"/>
        <w:sz w:val="18"/>
        <w:szCs w:val="18"/>
      </w:rPr>
      <w:t xml:space="preserve">Page </w:t>
    </w:r>
    <w:r>
      <w:rPr>
        <w:rFonts w:ascii="Times New Roman" w:cs="Times New Roman" w:eastAsia="Times New Roman" w:hAnsi="Times New Roman"/>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6"/>
        <w:szCs w:val="16"/>
      </w:rPr>
      <w:t xml:space="preserve">Juan Carlo – Demonstration Outline: Accounting (Budgeting) and Reports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0" w:after="240"/>
      <w:pBdr>
        <w:bottom w:val="single" w:sz="8" w:space="6" w:color="491321"/>
      </w:pBdr>
      <w:outlineLvl w:val="0"/>
    </w:pPr>
    <w:rPr>
      <w:rFonts w:ascii="Times New Roman" w:cs="Times New Roman" w:eastAsia="Times New Roman" w:hAnsi="Times New Roman"/>
      <w:b/>
      <w:bCs/>
      <w:color w:val="491321"/>
      <w:sz w:val="36"/>
      <w:szCs w:val="36"/>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1A1A1A"/>
      <w:sz w:val="26"/>
      <w:szCs w:val="26"/>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7A2E4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Un-named</cp:lastModifiedBy>
  <cp:revision>1</cp:revision>
  <dcterms:created xsi:type="dcterms:W3CDTF">2026-07-13T01:12:18.417Z</dcterms:created>
  <dcterms:modified xsi:type="dcterms:W3CDTF">2026-07-13T01:12:18.423Z</dcterms:modified>
</cp:coreProperties>
</file>

<file path=docProps/custom.xml><?xml version="1.0" encoding="utf-8"?>
<Properties xmlns="http://schemas.openxmlformats.org/officeDocument/2006/custom-properties" xmlns:vt="http://schemas.openxmlformats.org/officeDocument/2006/docPropsVTypes"/>
</file>