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Times New Roman" w:cs="Times New Roman" w:eastAsia="Times New Roman" w:hAnsi="Times New Roman"/>
          <w:b/>
          <w:bCs/>
          <w:color w:val="491321"/>
          <w:sz w:val="52"/>
          <w:szCs w:val="52"/>
        </w:rPr>
        <w:t xml:space="preserve">JUAN CARLO</w:t>
      </w:r>
    </w:p>
    <w:p>
      <w:pPr>
        <w:spacing w:after="560"/>
        <w:jc w:val="center"/>
      </w:pPr>
      <w:r>
        <w:rPr>
          <w:rFonts w:ascii="Times New Roman" w:cs="Times New Roman" w:eastAsia="Times New Roman" w:hAnsi="Times New Roman"/>
          <w:i/>
          <w:iCs/>
          <w:color w:val="5F5F5F"/>
          <w:sz w:val="22"/>
          <w:szCs w:val="22"/>
        </w:rPr>
        <w:t xml:space="preserve">The Heart of Tasteful Celebrations</w:t>
      </w:r>
    </w:p>
    <w:p>
      <w:pPr>
        <w:spacing w:after="120"/>
        <w:jc w:val="center"/>
      </w:pPr>
      <w:r>
        <w:rPr>
          <w:rFonts w:ascii="Times New Roman" w:cs="Times New Roman" w:eastAsia="Times New Roman" w:hAnsi="Times New Roman"/>
          <w:b/>
          <w:bCs/>
          <w:color w:val="1A1A1A"/>
          <w:sz w:val="26"/>
          <w:szCs w:val="26"/>
        </w:rPr>
        <w:t xml:space="preserve">EVENT MANAGEMENT AND OPERATIONS MONITORING SYSTEM</w:t>
      </w:r>
    </w:p>
    <w:p>
      <w:pPr>
        <w:spacing w:after="100"/>
        <w:jc w:val="center"/>
      </w:pPr>
      <w:r>
        <w:rPr>
          <w:rFonts w:ascii="Times New Roman" w:cs="Times New Roman" w:eastAsia="Times New Roman" w:hAnsi="Times New Roman"/>
          <w:b/>
          <w:bCs/>
          <w:color w:val="491321"/>
          <w:sz w:val="38"/>
          <w:szCs w:val="38"/>
        </w:rPr>
        <w:t xml:space="preserve">DEMONSTRATION SCRIPT</w:t>
      </w:r>
    </w:p>
    <w:p>
      <w:pPr>
        <w:spacing w:after="900"/>
        <w:jc w:val="center"/>
      </w:pPr>
      <w:r>
        <w:rPr>
          <w:rFonts w:ascii="Times New Roman" w:cs="Times New Roman" w:eastAsia="Times New Roman" w:hAnsi="Times New Roman"/>
          <w:b/>
          <w:bCs/>
          <w:color w:val="7A2E4A"/>
          <w:sz w:val="26"/>
          <w:szCs w:val="26"/>
        </w:rPr>
        <w:t xml:space="preserve">Accounting (Budgeting) and Reports Modules</w:t>
      </w:r>
    </w:p>
    <w:p>
      <w:pPr>
        <w:spacing w:after="60"/>
        <w:jc w:val="center"/>
      </w:pPr>
      <w:r>
        <w:rPr>
          <w:rFonts w:ascii="Times New Roman" w:cs="Times New Roman" w:eastAsia="Times New Roman" w:hAnsi="Times New Roman"/>
          <w:i/>
          <w:iCs/>
          <w:color w:val="5F5F5F"/>
          <w:sz w:val="21"/>
          <w:szCs w:val="21"/>
        </w:rPr>
        <w:t xml:space="preserve">The spoken script for the demonstration. Lines beside the maroon rule are read aloud; the DO lines are what to click while speaking.</w:t>
      </w:r>
    </w:p>
    <w:p>
      <w:pPr>
        <w:spacing w:before="1100" w:after="0"/>
        <w:jc w:val="center"/>
      </w:pPr>
      <w:r>
        <w:rPr>
          <w:rFonts w:ascii="Times New Roman" w:cs="Times New Roman" w:eastAsia="Times New Roman" w:hAnsi="Times New Roman"/>
          <w:color w:val="1A1A1A"/>
          <w:sz w:val="21"/>
          <w:szCs w:val="21"/>
        </w:rPr>
        <w:t xml:space="preserve">Companion documents: Demonstration Outline · Final User Manual</w:t>
      </w:r>
    </w:p>
    <w:p>
      <w:pPr>
        <w:spacing w:after="0"/>
        <w:jc w:val="center"/>
      </w:pPr>
      <w:r>
        <w:rPr>
          <w:rFonts w:ascii="Times New Roman" w:cs="Times New Roman" w:eastAsia="Times New Roman" w:hAnsi="Times New Roman"/>
          <w:color w:val="1A1A1A"/>
          <w:sz w:val="21"/>
          <w:szCs w:val="21"/>
        </w:rPr>
        <w:t xml:space="preserve">Capstone Defense · CAP-2467-IT</w:t>
      </w:r>
    </w:p>
    <w:p>
      <w:pPr>
        <w:pStyle w:val="Heading1"/>
        <w:pageBreakBefore/>
      </w:pPr>
      <w:r>
        <w:rPr>
          <w:rFonts w:ascii="Times New Roman" w:cs="Times New Roman" w:eastAsia="Times New Roman" w:hAnsi="Times New Roman"/>
          <w:b/>
          <w:bCs/>
          <w:color w:val="491321"/>
          <w:sz w:val="40"/>
          <w:szCs w:val="40"/>
        </w:rPr>
        <w:t xml:space="preserve">How to Use This Script</w:t>
      </w:r>
    </w:p>
    <w:p>
      <w:pPr>
        <w:spacing w:after="80"/>
        <w:ind w:left="480" w:hanging="360"/>
      </w:pPr>
      <w:r>
        <w:rPr>
          <w:rFonts w:ascii="Times New Roman" w:cs="Times New Roman" w:eastAsia="Times New Roman" w:hAnsi="Times New Roman"/>
          <w:sz w:val="22"/>
          <w:szCs w:val="22"/>
          <w:color w:val="1A1A1A"/>
        </w:rPr>
        <w:t xml:space="preserve">•  Lines against the </w:t>
      </w:r>
      <w:r>
        <w:rPr>
          <w:rFonts w:ascii="Times New Roman" w:cs="Times New Roman" w:eastAsia="Times New Roman" w:hAnsi="Times New Roman"/>
          <w:b/>
          <w:bCs/>
          <w:sz w:val="22"/>
          <w:szCs w:val="22"/>
          <w:color w:val="1A1A1A"/>
        </w:rPr>
        <w:t xml:space="preserve">maroon rule</w:t>
      </w:r>
      <w:r>
        <w:rPr>
          <w:rFonts w:ascii="Times New Roman" w:cs="Times New Roman" w:eastAsia="Times New Roman" w:hAnsi="Times New Roman"/>
          <w:sz w:val="22"/>
          <w:szCs w:val="22"/>
          <w:color w:val="1A1A1A"/>
        </w:rPr>
        <w:t xml:space="preserve"> are meant to be spoken. They are written to be read aloud as they are, but paraphrasing is fine once you are comfortable.</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DO</w:t>
      </w:r>
      <w:r>
        <w:rPr>
          <w:rFonts w:ascii="Times New Roman" w:cs="Times New Roman" w:eastAsia="Times New Roman" w:hAnsi="Times New Roman"/>
          <w:sz w:val="22"/>
          <w:szCs w:val="22"/>
          <w:color w:val="1A1A1A"/>
        </w:rPr>
        <w:t xml:space="preserve"> lines are stage directions — what you click while you speak. Do not read them out.</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MANUAL CUE</w:t>
      </w:r>
      <w:r>
        <w:rPr>
          <w:rFonts w:ascii="Times New Roman" w:cs="Times New Roman" w:eastAsia="Times New Roman" w:hAnsi="Times New Roman"/>
          <w:sz w:val="22"/>
          <w:szCs w:val="22"/>
          <w:color w:val="1A1A1A"/>
        </w:rPr>
        <w:t xml:space="preserve"> boxes are also spoken, and come first in each part. They tell the panel which section of the User Manual to turn to.</w:t>
      </w:r>
    </w:p>
    <w:p>
      <w:pPr>
        <w:spacing w:after="80"/>
        <w:ind w:left="480" w:hanging="360"/>
      </w:pPr>
      <w:r>
        <w:rPr>
          <w:rFonts w:ascii="Times New Roman" w:cs="Times New Roman" w:eastAsia="Times New Roman" w:hAnsi="Times New Roman"/>
          <w:sz w:val="22"/>
          <w:szCs w:val="22"/>
          <w:color w:val="1A1A1A"/>
        </w:rPr>
        <w:t xml:space="preserve">•  Record numbers in </w:t>
      </w:r>
      <w:r>
        <w:rPr>
          <w:rFonts w:ascii="Times New Roman" w:cs="Times New Roman" w:eastAsia="Times New Roman" w:hAnsi="Times New Roman"/>
          <w:b/>
          <w:bCs/>
          <w:sz w:val="22"/>
          <w:szCs w:val="22"/>
          <w:color w:val="1A1A1A"/>
        </w:rPr>
        <w:t xml:space="preserve">bold</w:t>
      </w:r>
      <w:r>
        <w:rPr>
          <w:rFonts w:ascii="Times New Roman" w:cs="Times New Roman" w:eastAsia="Times New Roman" w:hAnsi="Times New Roman"/>
          <w:sz w:val="22"/>
          <w:szCs w:val="22"/>
          <w:color w:val="1A1A1A"/>
        </w:rPr>
        <w:t xml:space="preserve"> are real records prepared by the demo kit. If a number does not appear on screen, re-run the seed (see below).</w:t>
      </w:r>
    </w:p>
    <w:p>
      <w:pPr>
        <w:pStyle w:val="Heading2"/>
      </w:pPr>
      <w:r>
        <w:rPr>
          <w:rFonts w:ascii="Times New Roman" w:cs="Times New Roman" w:eastAsia="Times New Roman" w:hAnsi="Times New Roman"/>
          <w:b/>
          <w:bCs/>
          <w:color w:val="1A1A1A"/>
          <w:sz w:val="28"/>
          <w:szCs w:val="28"/>
        </w:rPr>
        <w:t xml:space="preserve">Before You Begin</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Start the system: `npm run dev` — the interface opens on port 5173.</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Reset the demonstration data: `npm run seed:demokit`. This prepares everything the script needs and can be run as often as you like.</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Log in as </w:t>
      </w:r>
      <w:r>
        <w:rPr>
          <w:rFonts w:ascii="Times New Roman" w:cs="Times New Roman" w:eastAsia="Times New Roman" w:hAnsi="Times New Roman"/>
          <w:b/>
          <w:bCs/>
          <w:sz w:val="22"/>
          <w:szCs w:val="22"/>
          <w:color w:val="1A1A1A"/>
        </w:rPr>
        <w:t xml:space="preserve">Accounting</w:t>
      </w:r>
      <w:r>
        <w:rPr>
          <w:rFonts w:ascii="Times New Roman" w:cs="Times New Roman" w:eastAsia="Times New Roman" w:hAnsi="Times New Roman"/>
          <w:sz w:val="22"/>
          <w:szCs w:val="22"/>
          <w:color w:val="1A1A1A"/>
        </w:rPr>
        <w:t xml:space="preserve">. The whole demonstration runs in this one role.</w:t>
      </w:r>
    </w:p>
    <w:p>
      <w:pPr>
        <w:spacing w:after="80"/>
        <w:ind w:left="480" w:hanging="360"/>
      </w:pPr>
      <w:r>
        <w:rPr>
          <w:rFonts w:ascii="Times New Roman" w:cs="Times New Roman" w:eastAsia="Times New Roman" w:hAnsi="Times New Roman"/>
          <w:b/>
          <w:bCs/>
          <w:sz w:val="22"/>
          <w:szCs w:val="22"/>
          <w:color w:val="1A1A1A"/>
        </w:rPr>
        <w:t xml:space="preserve">4.</w:t>
      </w:r>
      <w:r>
        <w:rPr>
          <w:rFonts w:ascii="Times New Roman" w:cs="Times New Roman" w:eastAsia="Times New Roman" w:hAnsi="Times New Roman"/>
          <w:sz w:val="22"/>
          <w:szCs w:val="22"/>
          <w:color w:val="1A1A1A"/>
        </w:rPr>
        <w:t xml:space="preserve"> Have the </w:t>
      </w:r>
      <w:r>
        <w:rPr>
          <w:rFonts w:ascii="Times New Roman" w:cs="Times New Roman" w:eastAsia="Times New Roman" w:hAnsi="Times New Roman"/>
          <w:b/>
          <w:bCs/>
          <w:sz w:val="22"/>
          <w:szCs w:val="22"/>
          <w:color w:val="1A1A1A"/>
        </w:rPr>
        <w:t xml:space="preserve">User Manual</w:t>
      </w:r>
      <w:r>
        <w:rPr>
          <w:rFonts w:ascii="Times New Roman" w:cs="Times New Roman" w:eastAsia="Times New Roman" w:hAnsi="Times New Roman"/>
          <w:sz w:val="22"/>
          <w:szCs w:val="22"/>
          <w:color w:val="1A1A1A"/>
        </w:rPr>
        <w:t xml:space="preserve"> open at Chapter 4, printed or on a second screen.</w:t>
      </w:r>
    </w:p>
    <w:p>
      <w:pPr>
        <w:spacing w:before="80" w:after="160"/>
        <w:ind w:left="120"/>
        <w:pBdr>
          <w:top w:val="single" w:sz="4" w:color="B08699"/>
          <w:left w:val="single" w:sz="4" w:color="B08699"/>
          <w:bottom w:val="single" w:sz="4" w:color="B08699"/>
          <w:right w:val="single" w:sz="4" w:color="B08699"/>
        </w:pBdr>
        <w:shd w:val="clear" w:fill="FBF6F8"/>
      </w:pPr>
      <w:r>
        <w:rPr>
          <w:rFonts w:ascii="Times New Roman" w:cs="Times New Roman" w:eastAsia="Times New Roman" w:hAnsi="Times New Roman"/>
          <w:b/>
          <w:bCs/>
          <w:color w:val="7A2E4A"/>
          <w:sz w:val="20"/>
          <w:szCs w:val="20"/>
        </w:rPr>
        <w:t xml:space="preserve">The demo kit takes care of the setup. </w:t>
      </w:r>
      <w:r>
        <w:rPr>
          <w:rFonts w:ascii="Times New Roman" w:cs="Times New Roman" w:eastAsia="Times New Roman" w:hAnsi="Times New Roman"/>
          <w:color w:val="1A1A1A"/>
          <w:sz w:val="20"/>
          <w:szCs w:val="20"/>
        </w:rPr>
        <w:t xml:space="preserve">The blocked request is genuinely over budget on its own — ₱48,000 against a Creative allocation of ₱15,000 — so there is nothing to adjust by hand before or after the demonstration. Every record it creates is prefixed DK-.</w:t>
      </w:r>
    </w:p>
    <w:p>
      <w:pPr>
        <w:pStyle w:val="Heading1"/>
        <w:pageBreakBefore/>
      </w:pPr>
      <w:r>
        <w:rPr>
          <w:rFonts w:ascii="Times New Roman" w:cs="Times New Roman" w:eastAsia="Times New Roman" w:hAnsi="Times New Roman"/>
          <w:b/>
          <w:bCs/>
          <w:color w:val="491321"/>
          <w:sz w:val="40"/>
          <w:szCs w:val="40"/>
        </w:rPr>
        <w:t xml:space="preserve">Opening</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Good morning. For this demonstration we will be focusing on two modules that were not part of our previous defense: the Accounting module, specifically how the monthly operating budget is set and enforced, and the Reports module.</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The full contract lifecycle was already presented last time, so we will not repeat it. Instead we will show these two modules, and then two short operational scenarios that connect to them.</w:t>
      </w:r>
    </w:p>
    <w:p>
      <w:pPr>
        <w:spacing w:before="120" w:after="0"/>
        <w:ind w:left="120"/>
        <w:pBdr>
          <w:top w:val="single" w:sz="12" w:space="4" w:color="491321"/>
          <w:left w:val="single" w:sz="12" w:space="6" w:color="491321"/>
          <w:right w:val="single" w:sz="12" w:space="6" w:color="491321"/>
        </w:pBdr>
        <w:shd w:val="clear" w:fill="F2E8ED"/>
      </w:pPr>
      <w:r>
        <w:rPr>
          <w:rFonts w:ascii="Times New Roman" w:cs="Times New Roman" w:eastAsia="Times New Roman" w:hAnsi="Times New Roman"/>
          <w:b/>
          <w:bCs/>
          <w:caps/>
          <w:color w:val="491321"/>
          <w:sz w:val="17"/>
          <w:szCs w:val="17"/>
        </w:rPr>
        <w:t xml:space="preserve">Manual cue — say this first</w:t>
      </w:r>
    </w:p>
    <w:p>
      <w:pPr>
        <w:spacing w:after="160"/>
        <w:ind w:left="120"/>
        <w:pBdr>
          <w:left w:val="single" w:sz="12" w:space="6" w:color="491321"/>
          <w:bottom w:val="single" w:sz="12" w:space="4" w:color="491321"/>
          <w:right w:val="single" w:sz="12" w:space="6" w:color="491321"/>
        </w:pBdr>
        <w:shd w:val="clear" w:fill="F2E8ED"/>
      </w:pPr>
      <w:r>
        <w:rPr>
          <w:rFonts w:ascii="Times New Roman" w:cs="Times New Roman" w:eastAsia="Times New Roman" w:hAnsi="Times New Roman"/>
          <w:color w:val="1A1A1A"/>
          <w:sz w:val="23"/>
          <w:szCs w:val="23"/>
        </w:rPr>
        <w:t xml:space="preserve">May we ask the panel to open the User Manual at Chapter 4, the Accounting Department Guide. Section 4.1 gives the department’s features at a glance, and this demonstration follows that chapter together with Chapter 13 on Reports. We will announce the section before each part.</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Share your screen. Be logged in as Accounting, on the Accounting Dashboard.</w:t>
      </w:r>
    </w:p>
    <w:p>
      <w:pPr>
        <w:pStyle w:val="Heading1"/>
        <w:pageBreakBefore/>
      </w:pPr>
      <w:r>
        <w:rPr>
          <w:rFonts w:ascii="Times New Roman" w:cs="Times New Roman" w:eastAsia="Times New Roman" w:hAnsi="Times New Roman"/>
          <w:b/>
          <w:bCs/>
          <w:color w:val="491321"/>
          <w:sz w:val="40"/>
          <w:szCs w:val="40"/>
        </w:rPr>
        <w:t xml:space="preserve">Part 1 — Setting the Monthly Operating Budget</w:t>
      </w:r>
    </w:p>
    <w:p>
      <w:pPr>
        <w:spacing w:before="120" w:after="0"/>
        <w:ind w:left="120"/>
        <w:pBdr>
          <w:top w:val="single" w:sz="12" w:space="4" w:color="491321"/>
          <w:left w:val="single" w:sz="12" w:space="6" w:color="491321"/>
          <w:right w:val="single" w:sz="12" w:space="6" w:color="491321"/>
        </w:pBdr>
        <w:shd w:val="clear" w:fill="F2E8ED"/>
      </w:pPr>
      <w:r>
        <w:rPr>
          <w:rFonts w:ascii="Times New Roman" w:cs="Times New Roman" w:eastAsia="Times New Roman" w:hAnsi="Times New Roman"/>
          <w:b/>
          <w:bCs/>
          <w:caps/>
          <w:color w:val="491321"/>
          <w:sz w:val="17"/>
          <w:szCs w:val="17"/>
        </w:rPr>
        <w:t xml:space="preserve">Manual cue — say this first</w:t>
      </w:r>
    </w:p>
    <w:p>
      <w:pPr>
        <w:spacing w:after="160"/>
        <w:ind w:left="120"/>
        <w:pBdr>
          <w:left w:val="single" w:sz="12" w:space="6" w:color="491321"/>
          <w:bottom w:val="single" w:sz="12" w:space="4" w:color="491321"/>
          <w:right w:val="single" w:sz="12" w:space="6" w:color="491321"/>
        </w:pBdr>
        <w:shd w:val="clear" w:fill="F2E8ED"/>
      </w:pPr>
      <w:r>
        <w:rPr>
          <w:rFonts w:ascii="Times New Roman" w:cs="Times New Roman" w:eastAsia="Times New Roman" w:hAnsi="Times New Roman"/>
          <w:color w:val="1A1A1A"/>
          <w:sz w:val="23"/>
          <w:szCs w:val="23"/>
        </w:rPr>
        <w:t xml:space="preserve">Please navigate to Section 4.8 of the User Manual, Monthly Operating Budget. Figure 4.8.1 shows the screen we are about to open.</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Accounting sets an operating budget every month. What we want to show is that this is not a figure someone guesses — the system proposes it from what the departments actually spent.</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Accounting Dashboard → Finance tab.</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This is the budget for the current month, broken down per department category. Right now the total is one hundred fifty thousand pesos.</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Point at the month selector, then the category rows.</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There are two ways to fill this in. The first is the standard template, which is our baseline set of amounts.</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Click Standard Amounts.</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The second is the one we want to highlight. This asks the system to look at the last three months of confirmed procurement spending and propose amounts from that history.</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Click Suggest From Last 3 Months. The Creative, Linen, and Stockroom figures change.</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And the system tells us exactly where the numbers came from. It says the basis is the trailing three-month average of confirmed procurement spend for Creative, Linen, and Stockroom — and the remaining categories fall back to the standard template, because procurement only tracks those three departments.</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Read the Basis line on screen aloud, then point at Allocated total and Unallocated at the foot of the table.</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At the bottom we can see the allocated total against anything still unallocated, so Accounting can tell at a glance whether the month is fully committed. We save it.</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Click Save Monthly Budget.</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So the budget is data-derived rather than estimated. That matters for the next part, because this figure is about to decide whether money is actually released.</w:t>
      </w:r>
    </w:p>
    <w:p>
      <w:pPr>
        <w:pStyle w:val="Heading1"/>
        <w:pageBreakBefore/>
      </w:pPr>
      <w:r>
        <w:rPr>
          <w:rFonts w:ascii="Times New Roman" w:cs="Times New Roman" w:eastAsia="Times New Roman" w:hAnsi="Times New Roman"/>
          <w:b/>
          <w:bCs/>
          <w:color w:val="491321"/>
          <w:sz w:val="40"/>
          <w:szCs w:val="40"/>
        </w:rPr>
        <w:t xml:space="preserve">Part 2 — The Budget as a Control</w:t>
      </w:r>
    </w:p>
    <w:p>
      <w:pPr>
        <w:spacing w:before="120" w:after="0"/>
        <w:ind w:left="120"/>
        <w:pBdr>
          <w:top w:val="single" w:sz="12" w:space="4" w:color="491321"/>
          <w:left w:val="single" w:sz="12" w:space="6" w:color="491321"/>
          <w:right w:val="single" w:sz="12" w:space="6" w:color="491321"/>
        </w:pBdr>
        <w:shd w:val="clear" w:fill="F2E8ED"/>
      </w:pPr>
      <w:r>
        <w:rPr>
          <w:rFonts w:ascii="Times New Roman" w:cs="Times New Roman" w:eastAsia="Times New Roman" w:hAnsi="Times New Roman"/>
          <w:b/>
          <w:bCs/>
          <w:caps/>
          <w:color w:val="491321"/>
          <w:sz w:val="17"/>
          <w:szCs w:val="17"/>
        </w:rPr>
        <w:t xml:space="preserve">Manual cue — say this first</w:t>
      </w:r>
    </w:p>
    <w:p>
      <w:pPr>
        <w:spacing w:after="160"/>
        <w:ind w:left="120"/>
        <w:pBdr>
          <w:left w:val="single" w:sz="12" w:space="6" w:color="491321"/>
          <w:bottom w:val="single" w:sz="12" w:space="4" w:color="491321"/>
          <w:right w:val="single" w:sz="12" w:space="6" w:color="491321"/>
        </w:pBdr>
        <w:shd w:val="clear" w:fill="F2E8ED"/>
      </w:pPr>
      <w:r>
        <w:rPr>
          <w:rFonts w:ascii="Times New Roman" w:cs="Times New Roman" w:eastAsia="Times New Roman" w:hAnsi="Times New Roman"/>
          <w:color w:val="1A1A1A"/>
          <w:sz w:val="23"/>
          <w:szCs w:val="23"/>
        </w:rPr>
        <w:t xml:space="preserve">Please navigate to Section 4.7, Procurement Budget Approval. Figure 4.7.1 shows the approval queue, and Table 4.3 lists the financial business rules the system enforces.</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A budget that only records numbers is not really a control. This is the budget actually deciding whether a purchase can go ahead.</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Accounting Dashboard → Procurement Approval tab.</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These are the requests waiting for Accounting. They come from the departments — Creative, Linen, and Stockroom — when something they need is not in stock. We can sort them newest first, oldest first, by event date, or by the date the item is needed.</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Open the sort dropdown, choose one option, let the list reorder.</w:t>
      </w:r>
    </w:p>
    <w:p>
      <w:pPr>
        <w:pStyle w:val="Heading2"/>
      </w:pPr>
      <w:r>
        <w:rPr>
          <w:rFonts w:ascii="Times New Roman" w:cs="Times New Roman" w:eastAsia="Times New Roman" w:hAnsi="Times New Roman"/>
          <w:b/>
          <w:bCs/>
          <w:color w:val="1A1A1A"/>
          <w:sz w:val="28"/>
          <w:szCs w:val="28"/>
        </w:rPr>
        <w:t xml:space="preserve">A request that fits the budget</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Let us start with one that fits. This is a stockroom request for ten oval chafing dishes, one thousand eight hundred fifty pesos.</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Open DK-PR-0001 (Stockroom · Chafing Dish Oval · ₱1,850).</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Before Accounting can approve anything, there is a review checklist — the inventory need, the supplier, the pricing, and the timeline all have to be confirmed. The approve action stays closed until every item is ticked.</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Walk down the checklist, ticking each item.</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And here is the part we want the panel to see: the system shows the budget basis. It tells us the category allocation, how much was available before this approval, and what will remain afterwards. Accounting is not doing this arithmetic in their head.</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Point at the budget basis note, then click Approve.</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Approved. Purchasing is notified, and they can now go ahead and buy the item.</w:t>
      </w:r>
    </w:p>
    <w:p>
      <w:pPr>
        <w:pStyle w:val="Heading2"/>
      </w:pPr>
      <w:r>
        <w:rPr>
          <w:rFonts w:ascii="Times New Roman" w:cs="Times New Roman" w:eastAsia="Times New Roman" w:hAnsi="Times New Roman"/>
          <w:b/>
          <w:bCs/>
          <w:color w:val="1A1A1A"/>
          <w:sz w:val="28"/>
          <w:szCs w:val="28"/>
        </w:rPr>
        <w:t xml:space="preserve">A request that exceeds the budget</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Now the more important case. This is a creative request — a grand entrance arch with a floral installation — for forty-eight thousand pesos.</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Open DK-PR-0002 (Creative · Grand Entrance Arch and Floral Installation · ₱48,000).</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The Creative allocation for this month is fifteen thousand. So this single request is more than three times what the category has left. Let us try to approve it anyway.</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Attempt to approve. The system blocks it and shows the shortfall.</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The system refuses, and it tells us why — the amount requested against the amount actually available. Nobody had to remember the budget or check a spreadsheet; the rule is enforced at the moment of approval.</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From here Accounting has two honest options. They can return the request to Purchasing with a reason, so the quotation is revised or the item is deferred to next month. Or, if management decides the installation is worth it, they go back and reallocate the monthly budget first.</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Optionally return the request with a reason to show the round trip.</w:t>
      </w:r>
    </w:p>
    <w:p>
      <w:pPr>
        <w:spacing w:before="80" w:after="160"/>
        <w:ind w:left="120"/>
        <w:pBdr>
          <w:top w:val="single" w:sz="4" w:color="B08699"/>
          <w:left w:val="single" w:sz="4" w:color="B08699"/>
          <w:bottom w:val="single" w:sz="4" w:color="B08699"/>
          <w:right w:val="single" w:sz="4" w:color="B08699"/>
        </w:pBdr>
        <w:shd w:val="clear" w:fill="FBF6F8"/>
      </w:pPr>
      <w:r>
        <w:rPr>
          <w:rFonts w:ascii="Times New Roman" w:cs="Times New Roman" w:eastAsia="Times New Roman" w:hAnsi="Times New Roman"/>
          <w:b/>
          <w:bCs/>
          <w:color w:val="7A2E4A"/>
          <w:sz w:val="20"/>
          <w:szCs w:val="20"/>
        </w:rPr>
        <w:t xml:space="preserve">If the block does not appear: </w:t>
      </w:r>
      <w:r>
        <w:rPr>
          <w:rFonts w:ascii="Times New Roman" w:cs="Times New Roman" w:eastAsia="Times New Roman" w:hAnsi="Times New Roman"/>
          <w:color w:val="1A1A1A"/>
          <w:sz w:val="20"/>
          <w:szCs w:val="20"/>
        </w:rPr>
        <w:t xml:space="preserve">the budget was probably re-saved with a much larger Creative allocation during Part 1. Re-run npm run seed:demokit to reset, or simply narrate the rule from Table 4.3.</w:t>
      </w:r>
    </w:p>
    <w:p>
      <w:pPr>
        <w:pStyle w:val="Heading1"/>
        <w:pageBreakBefore/>
      </w:pPr>
      <w:r>
        <w:rPr>
          <w:rFonts w:ascii="Times New Roman" w:cs="Times New Roman" w:eastAsia="Times New Roman" w:hAnsi="Times New Roman"/>
          <w:b/>
          <w:bCs/>
          <w:color w:val="491321"/>
          <w:sz w:val="40"/>
          <w:szCs w:val="40"/>
        </w:rPr>
        <w:t xml:space="preserve">Part 3 — The Reports Module</w:t>
      </w:r>
    </w:p>
    <w:p>
      <w:pPr>
        <w:spacing w:before="120" w:after="0"/>
        <w:ind w:left="120"/>
        <w:pBdr>
          <w:top w:val="single" w:sz="12" w:space="4" w:color="491321"/>
          <w:left w:val="single" w:sz="12" w:space="6" w:color="491321"/>
          <w:right w:val="single" w:sz="12" w:space="6" w:color="491321"/>
        </w:pBdr>
        <w:shd w:val="clear" w:fill="F2E8ED"/>
      </w:pPr>
      <w:r>
        <w:rPr>
          <w:rFonts w:ascii="Times New Roman" w:cs="Times New Roman" w:eastAsia="Times New Roman" w:hAnsi="Times New Roman"/>
          <w:b/>
          <w:bCs/>
          <w:caps/>
          <w:color w:val="491321"/>
          <w:sz w:val="17"/>
          <w:szCs w:val="17"/>
        </w:rPr>
        <w:t xml:space="preserve">Manual cue — say this first</w:t>
      </w:r>
    </w:p>
    <w:p>
      <w:pPr>
        <w:spacing w:after="160"/>
        <w:ind w:left="120"/>
        <w:pBdr>
          <w:left w:val="single" w:sz="12" w:space="6" w:color="491321"/>
          <w:bottom w:val="single" w:sz="12" w:space="4" w:color="491321"/>
          <w:right w:val="single" w:sz="12" w:space="6" w:color="491321"/>
        </w:pBdr>
        <w:shd w:val="clear" w:fill="F2E8ED"/>
      </w:pPr>
      <w:r>
        <w:rPr>
          <w:rFonts w:ascii="Times New Roman" w:cs="Times New Roman" w:eastAsia="Times New Roman" w:hAnsi="Times New Roman"/>
          <w:color w:val="1A1A1A"/>
          <w:sz w:val="23"/>
          <w:szCs w:val="23"/>
        </w:rPr>
        <w:t xml:space="preserve">Please navigate to Chapter 13, Section 13.1, Department Reports. Table 13.1 lists what every role receives, and Figure 13.1.1 shows the page we are opening.</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The Reports module is role-based. Every department gets its own report built by the same engine — Table 13.1 in the manual lists exactly what each one sees. We will show the Accounting report, since that is the module we have been in.</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Open Reports. Set a wide date range so the charts populate.</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At the top are the headline figures: contract revenue, cash actually collected, what is still receivable, how much of that is overdue, and an estimate of the budget still available.</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Point across the summary cards.</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This is the monthly collections trend — completed client payments over the trailing six months. This is what management asks for first: is money actually coming in.</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Point at the Monthly Collections Trend chart.</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And this is accounts receivable aging. Every outstanding balance is grouped by how overdue it is — not yet due, one to thirty days, thirty-one to sixty, sixty-one to ninety, and beyond ninety.</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Point at the A/R Aging chart, then scroll to the A/R Aging Schedule table.</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The schedule underneath breaks that down per contract: which milestone is owed, when it was due, how many days it has been overdue, and which bucket it falls into — oldest first, so collections know who to call today.</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Below that is the financial position summary — collections, receivables, confirmed expenses, and open commitments — and then the procurement budget register, which is the same requests we were just approving in Part 2.</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Scroll through Financial Position Summary and Procurement Budget Register.</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And all of it leaves the system. Every report can be printed, or exported to Excel, per section or in full.</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Click Export to Excel. Let the file download visibly.</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So: one reporting engine, each department sees only what belongs to it, and management can take any of it out as a spreadsheet.</w:t>
      </w:r>
    </w:p>
    <w:p>
      <w:pPr>
        <w:pStyle w:val="Heading1"/>
        <w:pageBreakBefore/>
      </w:pPr>
      <w:r>
        <w:rPr>
          <w:rFonts w:ascii="Times New Roman" w:cs="Times New Roman" w:eastAsia="Times New Roman" w:hAnsi="Times New Roman"/>
          <w:b/>
          <w:bCs/>
          <w:color w:val="491321"/>
          <w:sz w:val="40"/>
          <w:szCs w:val="40"/>
        </w:rPr>
        <w:t xml:space="preserve">Part 4 — Closing Scenario</w:t>
      </w:r>
    </w:p>
    <w:p>
      <w:pPr>
        <w:spacing w:before="120" w:after="0"/>
        <w:ind w:left="120"/>
        <w:pBdr>
          <w:top w:val="single" w:sz="12" w:space="4" w:color="491321"/>
          <w:left w:val="single" w:sz="12" w:space="6" w:color="491321"/>
          <w:right w:val="single" w:sz="12" w:space="6" w:color="491321"/>
        </w:pBdr>
        <w:shd w:val="clear" w:fill="F2E8ED"/>
      </w:pPr>
      <w:r>
        <w:rPr>
          <w:rFonts w:ascii="Times New Roman" w:cs="Times New Roman" w:eastAsia="Times New Roman" w:hAnsi="Times New Roman"/>
          <w:b/>
          <w:bCs/>
          <w:caps/>
          <w:color w:val="491321"/>
          <w:sz w:val="17"/>
          <w:szCs w:val="17"/>
        </w:rPr>
        <w:t xml:space="preserve">Manual cue — say this first</w:t>
      </w:r>
    </w:p>
    <w:p>
      <w:pPr>
        <w:spacing w:after="160"/>
        <w:ind w:left="120"/>
        <w:pBdr>
          <w:left w:val="single" w:sz="12" w:space="6" w:color="491321"/>
          <w:bottom w:val="single" w:sz="12" w:space="4" w:color="491321"/>
          <w:right w:val="single" w:sz="12" w:space="6" w:color="491321"/>
        </w:pBdr>
        <w:shd w:val="clear" w:fill="F2E8ED"/>
      </w:pPr>
      <w:r>
        <w:rPr>
          <w:rFonts w:ascii="Times New Roman" w:cs="Times New Roman" w:eastAsia="Times New Roman" w:hAnsi="Times New Roman"/>
          <w:color w:val="1A1A1A"/>
          <w:sz w:val="23"/>
          <w:szCs w:val="23"/>
        </w:rPr>
        <w:t xml:space="preserve">Please navigate back to Chapter 4, Sections 4.6 and 4.9 — Payment Holds and Closing the Contract. The scenarios are listed in Section 4.10, and the timing rules are in Appendix A, Table A.1.</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To close the Accounting side, we want to show what happens when a payment is missed, because that is the rule the client was most concerned about.</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Open contract DK-HOLD-001 (Reyes–Villanueva Wedding).</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This contract has its forty percent collection, but the remaining sixty percent was not settled by its due date — which our client sets at two months before the event. The system placed it on hold automatically. Nobody flagged it manually.</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Point at the Final Balance Overdue / On Hold banner.</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And a hold is not just a label. While it is active, preparation, release, and execution are all blocked across every department — the kitchen cannot mark items ready, logistics cannot dispatch. The event stops until the balance is settled, or until management releases the hold.</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One detail worth noting: the departments that are blocked do not see the amounts. Only Sales, Accounting, and Admin see the peso figures — everyone else just sees that the contract is on hold pending Accounting.</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These timings are not ours. They come from Juan Carlo’s own business rules, which are in Appendix H of our paper and summarised in Table A.1 of the manual — the thirty-thousand reservation fee, the forty–sixty split, the aging window, and this hold.</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Open contract DK-CLOSE-001 (Aguilar Corporate Anniversary).</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And this is the other end of the same process. This event has passed, the balance is fully collected, and every department has recorded its post-event checks — so the contract now reads Awaiting Contract Close, and Accounting has been notified that it is ready.</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Point at the stage badge and the notification.</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Closing is only permitted when all four conditions are true: the event date has passed, the balance is fully paid, logistics is marked completed, and no post-event checks are still pending.</w:t>
      </w:r>
    </w:p>
    <w:p>
      <w:pPr>
        <w:pStyle w:val="Heading1"/>
        <w:pageBreakBefore/>
      </w:pPr>
      <w:r>
        <w:rPr>
          <w:rFonts w:ascii="Times New Roman" w:cs="Times New Roman" w:eastAsia="Times New Roman" w:hAnsi="Times New Roman"/>
          <w:b/>
          <w:bCs/>
          <w:color w:val="491321"/>
          <w:sz w:val="40"/>
          <w:szCs w:val="40"/>
        </w:rPr>
        <w:t xml:space="preserve">Part 5 — Scenario Spotlights</w:t>
      </w:r>
    </w:p>
    <w:p>
      <w:pPr>
        <w:spacing w:before="120" w:after="0"/>
        <w:ind w:left="120"/>
        <w:pBdr>
          <w:top w:val="single" w:sz="12" w:space="4" w:color="491321"/>
          <w:left w:val="single" w:sz="12" w:space="6" w:color="491321"/>
          <w:right w:val="single" w:sz="12" w:space="6" w:color="491321"/>
        </w:pBdr>
        <w:shd w:val="clear" w:fill="F2E8ED"/>
      </w:pPr>
      <w:r>
        <w:rPr>
          <w:rFonts w:ascii="Times New Roman" w:cs="Times New Roman" w:eastAsia="Times New Roman" w:hAnsi="Times New Roman"/>
          <w:b/>
          <w:bCs/>
          <w:caps/>
          <w:color w:val="491321"/>
          <w:sz w:val="17"/>
          <w:szCs w:val="17"/>
        </w:rPr>
        <w:t xml:space="preserve">Manual cue — say this first</w:t>
      </w:r>
    </w:p>
    <w:p>
      <w:pPr>
        <w:spacing w:after="160"/>
        <w:ind w:left="120"/>
        <w:pBdr>
          <w:left w:val="single" w:sz="12" w:space="6" w:color="491321"/>
          <w:bottom w:val="single" w:sz="12" w:space="4" w:color="491321"/>
          <w:right w:val="single" w:sz="12" w:space="6" w:color="491321"/>
        </w:pBdr>
        <w:shd w:val="clear" w:fill="F2E8ED"/>
      </w:pPr>
      <w:r>
        <w:rPr>
          <w:rFonts w:ascii="Times New Roman" w:cs="Times New Roman" w:eastAsia="Times New Roman" w:hAnsi="Times New Roman"/>
          <w:color w:val="1A1A1A"/>
          <w:sz w:val="23"/>
          <w:szCs w:val="23"/>
        </w:rPr>
        <w:t xml:space="preserve">For this last part, please navigate to Section 13.3, Incidents. The two scenarios are also written up in Sections 5.7, 6.7, and 7.8 for the inventory departments, and Section 11.3 for how Purchasing processes the request.</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We would like to close with two short scenarios that came out of our client interviews. Both of them feed straight back into what we have just shown.</w:t>
      </w:r>
    </w:p>
    <w:p>
      <w:pPr>
        <w:pStyle w:val="Heading2"/>
      </w:pPr>
      <w:r>
        <w:rPr>
          <w:rFonts w:ascii="Times New Roman" w:cs="Times New Roman" w:eastAsia="Times New Roman" w:hAnsi="Times New Roman"/>
          <w:b/>
          <w:bCs/>
          <w:color w:val="1A1A1A"/>
          <w:sz w:val="28"/>
          <w:szCs w:val="28"/>
        </w:rPr>
        <w:t xml:space="preserve">Scenario A — Two events on one day, and stock runs short</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The first is the situation the client raised most often: two events falling on the same date.</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Open DK-SAMEDAY-A and DK-SAMEDAY-B — both on the same event date.</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These two events are on the same day. The first one has already reserved the seat covers. When the second event needs the same item, the system does not simply show the warehouse total — availability is computed for that specific date, so the stock already committed to the first event is not offered to the second.</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If an alternative is available, the system suggests it. If nothing covers the gap, the department has to decide between buying and renting. Our client’s practice is to look for a purchase first, and only turn to rental when the item cannot sensibly be bought or is needed just once.</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Open the Procurement Approval queue and show the two resulting requests side by side.</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Both of those decisions are in the queue right now. The napkins are a purchase, because they go back into stock and get used again. The ten-by-twenty reception tent is a rental, because we would not buy a tent for one event.</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And whichever route the department takes, the request lands exactly where we were in Part Two — with Accounting, for the budget check, before any money is released.</w:t>
      </w:r>
    </w:p>
    <w:p>
      <w:pPr>
        <w:spacing w:before="80" w:after="160"/>
        <w:ind w:left="120"/>
        <w:pBdr>
          <w:top w:val="single" w:sz="4" w:color="B08699"/>
          <w:left w:val="single" w:sz="4" w:color="B08699"/>
          <w:bottom w:val="single" w:sz="4" w:color="B08699"/>
          <w:right w:val="single" w:sz="4" w:color="B08699"/>
        </w:pBdr>
        <w:shd w:val="clear" w:fill="FBF6F8"/>
      </w:pPr>
      <w:r>
        <w:rPr>
          <w:rFonts w:ascii="Times New Roman" w:cs="Times New Roman" w:eastAsia="Times New Roman" w:hAnsi="Times New Roman"/>
          <w:b/>
          <w:bCs/>
          <w:color w:val="7A2E4A"/>
          <w:sz w:val="20"/>
          <w:szCs w:val="20"/>
        </w:rPr>
        <w:t xml:space="preserve">If asked whether the system enforces purchase-before-rental: </w:t>
      </w:r>
      <w:r>
        <w:rPr>
          <w:rFonts w:ascii="Times New Roman" w:cs="Times New Roman" w:eastAsia="Times New Roman" w:hAnsi="Times New Roman"/>
          <w:color w:val="1A1A1A"/>
          <w:sz w:val="20"/>
          <w:szCs w:val="20"/>
        </w:rPr>
        <w:t xml:space="preserve">answer honestly — the requesting department chooses, and the system records the choice and routes it for approval. The preference is company practice, not an automated rule.</w:t>
      </w:r>
    </w:p>
    <w:p>
      <w:pPr>
        <w:pStyle w:val="Heading2"/>
      </w:pPr>
      <w:r>
        <w:rPr>
          <w:rFonts w:ascii="Times New Roman" w:cs="Times New Roman" w:eastAsia="Times New Roman" w:hAnsi="Times New Roman"/>
          <w:b/>
          <w:bCs/>
          <w:color w:val="1A1A1A"/>
          <w:sz w:val="28"/>
          <w:szCs w:val="28"/>
        </w:rPr>
        <w:t xml:space="preserve">Scenario B — An item is damaged during the event</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The second scenario is what happens when something goes wrong on site.</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Open the Incidents page.</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After every event the departments verify what came back. When something is damaged, missing, or spoiled, it is filed as an incident against that specific contract and item rather than being quietly written off.</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Open the DK incident — two chipped centerpiece vases from the Aguilar anniversary.</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This one is from the event we just looked at: two centerpiece vases were chipped during pack-up. The report carries the type, the severity, how many were affected, and an optional photograph.</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The rule behind this is also the client’s: the team may not leave the venue until what was loaded back matches the checklist that went out. Any difference goes into the missing-and-damaged summary, and unresolved losses can be charged unless the supervisor files a counter-report.</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And this is why it connects back to Part Three — incidents appear in the department reports, so management sees them without having to ask anyone.</w:t>
      </w:r>
    </w:p>
    <w:p>
      <w:pPr>
        <w:pStyle w:val="Heading1"/>
        <w:pageBreakBefore/>
      </w:pPr>
      <w:r>
        <w:rPr>
          <w:rFonts w:ascii="Times New Roman" w:cs="Times New Roman" w:eastAsia="Times New Roman" w:hAnsi="Times New Roman"/>
          <w:b/>
          <w:bCs/>
          <w:color w:val="491321"/>
          <w:sz w:val="40"/>
          <w:szCs w:val="40"/>
        </w:rPr>
        <w:t xml:space="preserve">Closing</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To summarise: Accounting now sets a monthly operating budget derived from real spending history, and that budget is enforced at the point of approval rather than trusted to memory. Every department has a report built from the same engine, exportable for management. And the client’s own rules — the collection timeline, the automatic hold, and post-event accountability — are carried out by the system rather than by reminders.</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Everything we showed is documented in the User Manual we provided, per department, with the same section numbers we have been calling out. Thank you — we are happy to take questions.</w:t>
      </w:r>
    </w:p>
    <w:p>
      <w:pPr>
        <w:pStyle w:val="Heading2"/>
      </w:pPr>
      <w:r>
        <w:rPr>
          <w:rFonts w:ascii="Times New Roman" w:cs="Times New Roman" w:eastAsia="Times New Roman" w:hAnsi="Times New Roman"/>
          <w:b/>
          <w:bCs/>
          <w:color w:val="1A1A1A"/>
          <w:sz w:val="28"/>
          <w:szCs w:val="28"/>
        </w:rPr>
        <w:t xml:space="preserve">Quick Answers</w:t>
      </w:r>
    </w:p>
    <w:p>
      <w:pPr>
        <w:spacing w:after="80" w:before="60"/>
      </w:pPr>
      <w:r>
        <w:rPr>
          <w:rFonts w:ascii="Times New Roman" w:cs="Times New Roman" w:eastAsia="Times New Roman" w:hAnsi="Times New Roman"/>
          <w:b/>
          <w:bCs/>
          <w:color w:val="491321"/>
          <w:sz w:val="20"/>
          <w:szCs w:val="20"/>
        </w:rPr>
        <w:t xml:space="preserve">Table 1 Short Answers to Likely Questions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900"/>
        <w:gridCol w:w="5500"/>
      </w:tblGrid>
      <w:tr>
        <w:trPr>
          <w:tblHeader/>
        </w:trPr>
        <w:tc>
          <w:tcPr>
            <w:tcW w:type="dxa" w:w="39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If asked</w:t>
            </w:r>
          </w:p>
        </w:tc>
        <w:tc>
          <w:tcPr>
            <w:tcW w:type="dxa" w:w="55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Answer</w:t>
            </w:r>
          </w:p>
        </w:tc>
      </w:tr>
      <w:tr>
        <w:tc>
          <w:tcPr>
            <w:tcW w:type="dxa" w:w="39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Is the budget monthly or annual?</w:t>
            </w:r>
          </w:p>
        </w:tc>
        <w:tc>
          <w:tcPr>
            <w:tcW w:type="dxa" w:w="55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Monthly — Accounting sets it each month. The period was never specified in the requirements, so monthly was implemented and it is an open item to confirm with the client.</w:t>
            </w:r>
          </w:p>
        </w:tc>
      </w:tr>
      <w:tr>
        <w:tc>
          <w:tcPr>
            <w:tcW w:type="dxa" w:w="39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Where does the suggestion come from?</w:t>
            </w:r>
          </w:p>
        </w:tc>
        <w:tc>
          <w:tcPr>
            <w:tcW w:type="dxa" w:w="55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trailing three-month average of confirmed procurement spend for Creative, Linen, and Stockroom; the standard template for the rest.</w:t>
            </w:r>
          </w:p>
        </w:tc>
      </w:tr>
      <w:tr>
        <w:tc>
          <w:tcPr>
            <w:tcW w:type="dxa" w:w="39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What stops overspending?</w:t>
            </w:r>
          </w:p>
        </w:tc>
        <w:tc>
          <w:tcPr>
            <w:tcW w:type="dxa" w:w="55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budget check at the moment of approval — shown in Part 2.</w:t>
            </w:r>
          </w:p>
        </w:tc>
      </w:tr>
      <w:tr>
        <w:tc>
          <w:tcPr>
            <w:tcW w:type="dxa" w:w="39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Are these rules yours or the client’s?</w:t>
            </w:r>
          </w:p>
        </w:tc>
        <w:tc>
          <w:tcPr>
            <w:tcW w:type="dxa" w:w="55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client’s, documented in Appendix H and summarised in Table 4.3 and Table A.1.</w:t>
            </w:r>
          </w:p>
        </w:tc>
      </w:tr>
      <w:tr>
        <w:tc>
          <w:tcPr>
            <w:tcW w:type="dxa" w:w="39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Can other departments see contract values?</w:t>
            </w:r>
          </w:p>
        </w:tc>
        <w:tc>
          <w:tcPr>
            <w:tcW w:type="dxa" w:w="55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No — package price and total contract value are restricted to Sales, Accounting, and Admin, on screen and in exported PDFs.</w:t>
            </w:r>
          </w:p>
        </w:tc>
      </w:tr>
      <w:tr>
        <w:tc>
          <w:tcPr>
            <w:tcW w:type="dxa" w:w="39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What if a client cancels?</w:t>
            </w:r>
          </w:p>
        </w:tc>
        <w:tc>
          <w:tcPr>
            <w:tcW w:type="dxa" w:w="55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system records the cancellation and the reason from the formal letter. The refund percentage and any conversion of the event are management decisions requiring executive review; the reservation fee is non-refundable.</w:t>
            </w:r>
          </w:p>
        </w:tc>
      </w:tr>
      <w:tr>
        <w:tc>
          <w:tcPr>
            <w:tcW w:type="dxa" w:w="39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Is it deployed?</w:t>
            </w:r>
          </w:p>
        </w:tc>
        <w:tc>
          <w:tcPr>
            <w:tcW w:type="dxa" w:w="55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Not yet — deployment follows a successful defense.</w:t>
            </w:r>
          </w:p>
        </w:tc>
      </w:tr>
    </w:tbl>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8"/>
        <w:szCs w:val="18"/>
      </w:rPr>
      <w:t xml:space="preserve">Page </w:t>
    </w: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99999"/>
        <w:sz w:val="16"/>
        <w:szCs w:val="16"/>
      </w:rPr>
      <w:t xml:space="preserve">Juan Carlo – Demonstration Script: Accounting (Budgeting) and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ageBreakBefore/>
      <w:spacing w:before="0" w:after="240"/>
      <w:pBdr>
        <w:bottom w:val="single" w:sz="8" w:space="6" w:color="491321"/>
      </w:pBdr>
      <w:outlineLvl w:val="0"/>
    </w:pPr>
    <w:rPr>
      <w:rFonts w:ascii="Times New Roman" w:cs="Times New Roman" w:eastAsia="Times New Roman" w:hAnsi="Times New Roman"/>
      <w:b/>
      <w:bCs/>
      <w:color w:val="491321"/>
      <w:sz w:val="36"/>
      <w:szCs w:val="36"/>
    </w:rPr>
  </w:style>
  <w:style w:type="paragraph" w:styleId="Heading2">
    <w:name w:val="Heading 2"/>
    <w:basedOn w:val="Normal"/>
    <w:next w:val="Normal"/>
    <w:qFormat/>
    <w:pPr>
      <w:keepNext/>
      <w:spacing w:before="280" w:after="120"/>
      <w:outlineLvl w:val="1"/>
    </w:pPr>
    <w:rPr>
      <w:rFonts w:ascii="Times New Roman" w:cs="Times New Roman" w:eastAsia="Times New Roman" w:hAnsi="Times New Roman"/>
      <w:b/>
      <w:bCs/>
      <w:color w:val="1A1A1A"/>
      <w:sz w:val="26"/>
      <w:szCs w:val="26"/>
    </w:rPr>
  </w:style>
  <w:style w:type="paragraph" w:styleId="Heading3">
    <w:name w:val="Heading 3"/>
    <w:basedOn w:val="Normal"/>
    <w:next w:val="Normal"/>
    <w:qFormat/>
    <w:pPr>
      <w:keepNext/>
      <w:spacing w:before="200" w:after="100"/>
      <w:outlineLvl w:val="2"/>
    </w:pPr>
    <w:rPr>
      <w:rFonts w:ascii="Times New Roman" w:cs="Times New Roman" w:eastAsia="Times New Roman" w:hAnsi="Times New Roman"/>
      <w:b/>
      <w:bCs/>
      <w:i/>
      <w:iCs/>
      <w:color w:val="7A2E4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Management and Operations Monitoring System – User Manual</dc:title>
  <dc:creator>Juan Carlo Catering Services</dc:creator>
  <cp:lastModifiedBy>Un-named</cp:lastModifiedBy>
  <cp:revision>1</cp:revision>
  <dcterms:created xsi:type="dcterms:W3CDTF">2026-07-13T01:12:18.417Z</dcterms:created>
  <dcterms:modified xsi:type="dcterms:W3CDTF">2026-07-13T01:12:18.423Z</dcterms:modified>
</cp:coreProperties>
</file>

<file path=docProps/custom.xml><?xml version="1.0" encoding="utf-8"?>
<Properties xmlns="http://schemas.openxmlformats.org/officeDocument/2006/custom-properties" xmlns:vt="http://schemas.openxmlformats.org/officeDocument/2006/docPropsVTypes"/>
</file>