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Times New Roman" w:cs="Times New Roman" w:eastAsia="Times New Roman" w:hAnsi="Times New Roman"/>
          <w:b/>
          <w:bCs/>
          <w:color w:val="491321"/>
          <w:sz w:val="52"/>
          <w:szCs w:val="52"/>
        </w:rPr>
        <w:t xml:space="preserve">JUAN CARLO</w:t>
      </w:r>
    </w:p>
    <w:p>
      <w:pPr>
        <w:spacing w:after="560"/>
        <w:jc w:val="center"/>
      </w:pPr>
      <w:r>
        <w:rPr>
          <w:rFonts w:ascii="Times New Roman" w:cs="Times New Roman" w:eastAsia="Times New Roman" w:hAnsi="Times New Roman"/>
          <w:i/>
          <w:iCs/>
          <w:color w:val="5F5F5F"/>
          <w:sz w:val="22"/>
          <w:szCs w:val="22"/>
        </w:rPr>
        <w:t xml:space="preserve">The Heart of Tasteful Celebrations</w:t>
      </w:r>
    </w:p>
    <w:p>
      <w:pPr>
        <w:spacing w:after="120"/>
        <w:jc w:val="center"/>
      </w:pPr>
      <w:r>
        <w:rPr>
          <w:rFonts w:ascii="Times New Roman" w:cs="Times New Roman" w:eastAsia="Times New Roman" w:hAnsi="Times New Roman"/>
          <w:b/>
          <w:bCs/>
          <w:color w:val="1A1A1A"/>
          <w:sz w:val="26"/>
          <w:szCs w:val="26"/>
        </w:rPr>
        <w:t xml:space="preserve">EVENT MANAGEMENT AND OPERATIONS MONITORING SYSTEM</w:t>
      </w:r>
    </w:p>
    <w:p>
      <w:pPr>
        <w:spacing w:after="100"/>
        <w:jc w:val="center"/>
      </w:pPr>
      <w:r>
        <w:rPr>
          <w:rFonts w:ascii="Times New Roman" w:cs="Times New Roman" w:eastAsia="Times New Roman" w:hAnsi="Times New Roman"/>
          <w:b/>
          <w:bCs/>
          <w:color w:val="491321"/>
          <w:sz w:val="38"/>
          <w:szCs w:val="38"/>
        </w:rPr>
        <w:t xml:space="preserve">PANEL REVISIONS 4 AND 5</w:t>
      </w:r>
    </w:p>
    <w:p>
      <w:pPr>
        <w:spacing w:after="900"/>
        <w:jc w:val="center"/>
      </w:pPr>
      <w:r>
        <w:rPr>
          <w:rFonts w:ascii="Times New Roman" w:cs="Times New Roman" w:eastAsia="Times New Roman" w:hAnsi="Times New Roman"/>
          <w:b/>
          <w:bCs/>
          <w:color w:val="7A2E4A"/>
          <w:sz w:val="24"/>
          <w:szCs w:val="24"/>
        </w:rPr>
        <w:t xml:space="preserve">Resources inside the locked-in period · Information at the point of decision</w:t>
      </w:r>
    </w:p>
    <w:p>
      <w:pPr>
        <w:spacing w:after="60"/>
        <w:jc w:val="center"/>
      </w:pPr>
      <w:r>
        <w:rPr>
          <w:rFonts w:ascii="Times New Roman" w:cs="Times New Roman" w:eastAsia="Times New Roman" w:hAnsi="Times New Roman"/>
          <w:i/>
          <w:iCs/>
          <w:color w:val="5F5F5F"/>
          <w:sz w:val="21"/>
          <w:szCs w:val="21"/>
        </w:rPr>
        <w:t xml:space="preserve">Lines beside the maroon rule are read aloud. DO lines are what to click while speaking.</w:t>
      </w:r>
    </w:p>
    <w:p>
      <w:pPr>
        <w:spacing w:before="1100" w:after="0"/>
        <w:jc w:val="center"/>
      </w:pPr>
      <w:r>
        <w:rPr>
          <w:rFonts w:ascii="Times New Roman" w:cs="Times New Roman" w:eastAsia="Times New Roman" w:hAnsi="Times New Roman"/>
          <w:color w:val="1A1A1A"/>
          <w:sz w:val="21"/>
          <w:szCs w:val="21"/>
        </w:rPr>
        <w:t xml:space="preserve">Capstone Defense · CAP-2467-IT</w:t>
      </w:r>
    </w:p>
    <w:p>
      <w:pPr>
        <w:pStyle w:val="Heading1"/>
        <w:pageBreakBefore/>
      </w:pPr>
      <w:r>
        <w:rPr>
          <w:rFonts w:ascii="Times New Roman" w:cs="Times New Roman" w:eastAsia="Times New Roman" w:hAnsi="Times New Roman"/>
          <w:b/>
          <w:bCs/>
          <w:color w:val="491321"/>
          <w:sz w:val="40"/>
          <w:szCs w:val="40"/>
        </w:rPr>
        <w:t xml:space="preserve">Before You Begin</w:t>
      </w:r>
    </w:p>
    <w:p>
      <w:pPr>
        <w:spacing w:after="80"/>
        <w:ind w:left="480" w:hanging="360"/>
      </w:pPr>
      <w:r>
        <w:rPr>
          <w:rFonts w:ascii="Times New Roman" w:cs="Times New Roman" w:eastAsia="Times New Roman" w:hAnsi="Times New Roman"/>
          <w:b/>
          <w:bCs/>
          <w:sz w:val="22"/>
          <w:szCs w:val="22"/>
          <w:color w:val="1A1A1A"/>
        </w:rPr>
        <w:t xml:space="preserve">1.</w:t>
      </w:r>
      <w:r>
        <w:rPr>
          <w:rFonts w:ascii="Times New Roman" w:cs="Times New Roman" w:eastAsia="Times New Roman" w:hAnsi="Times New Roman"/>
          <w:sz w:val="22"/>
          <w:szCs w:val="22"/>
          <w:color w:val="1A1A1A"/>
        </w:rPr>
        <w:t xml:space="preserve"> Start the system: `npm run dev`.</w:t>
      </w:r>
    </w:p>
    <w:p>
      <w:pPr>
        <w:spacing w:after="80"/>
        <w:ind w:left="480" w:hanging="360"/>
      </w:pPr>
      <w:r>
        <w:rPr>
          <w:rFonts w:ascii="Times New Roman" w:cs="Times New Roman" w:eastAsia="Times New Roman" w:hAnsi="Times New Roman"/>
          <w:b/>
          <w:bCs/>
          <w:sz w:val="22"/>
          <w:szCs w:val="22"/>
          <w:color w:val="1A1A1A"/>
        </w:rPr>
        <w:t xml:space="preserve">2.</w:t>
      </w:r>
      <w:r>
        <w:rPr>
          <w:rFonts w:ascii="Times New Roman" w:cs="Times New Roman" w:eastAsia="Times New Roman" w:hAnsi="Times New Roman"/>
          <w:sz w:val="22"/>
          <w:szCs w:val="22"/>
          <w:color w:val="1A1A1A"/>
        </w:rPr>
        <w:t xml:space="preserve"> Load the demonstration records: `npm run seed:panel`. Every record it creates carries the </w:t>
      </w:r>
      <w:r>
        <w:rPr>
          <w:rFonts w:ascii="Times New Roman" w:cs="Times New Roman" w:eastAsia="Times New Roman" w:hAnsi="Times New Roman"/>
          <w:b/>
          <w:bCs/>
          <w:sz w:val="22"/>
          <w:szCs w:val="22"/>
          <w:color w:val="1A1A1A"/>
        </w:rPr>
        <w:t xml:space="preserve">PD-</w:t>
      </w:r>
      <w:r>
        <w:rPr>
          <w:rFonts w:ascii="Times New Roman" w:cs="Times New Roman" w:eastAsia="Times New Roman" w:hAnsi="Times New Roman"/>
          <w:sz w:val="22"/>
          <w:szCs w:val="22"/>
          <w:color w:val="1A1A1A"/>
        </w:rPr>
        <w:t xml:space="preserve"> prefix and it only ever deletes its own, so it is safe to re-run between rehearsals.</w:t>
      </w:r>
    </w:p>
    <w:p>
      <w:pPr>
        <w:spacing w:after="80"/>
        <w:ind w:left="480" w:hanging="360"/>
      </w:pPr>
      <w:r>
        <w:rPr>
          <w:rFonts w:ascii="Times New Roman" w:cs="Times New Roman" w:eastAsia="Times New Roman" w:hAnsi="Times New Roman"/>
          <w:b/>
          <w:bCs/>
          <w:sz w:val="22"/>
          <w:szCs w:val="22"/>
          <w:color w:val="1A1A1A"/>
        </w:rPr>
        <w:t xml:space="preserve">3.</w:t>
      </w:r>
      <w:r>
        <w:rPr>
          <w:rFonts w:ascii="Times New Roman" w:cs="Times New Roman" w:eastAsia="Times New Roman" w:hAnsi="Times New Roman"/>
          <w:sz w:val="22"/>
          <w:szCs w:val="22"/>
          <w:color w:val="1A1A1A"/>
        </w:rPr>
        <w:t xml:space="preserve"> Have four tabs signed in and ready: </w:t>
      </w:r>
      <w:r>
        <w:rPr>
          <w:rFonts w:ascii="Times New Roman" w:cs="Times New Roman" w:eastAsia="Times New Roman" w:hAnsi="Times New Roman"/>
          <w:b/>
          <w:bCs/>
          <w:sz w:val="22"/>
          <w:szCs w:val="22"/>
          <w:color w:val="1A1A1A"/>
        </w:rPr>
        <w:t xml:space="preserve">Linen</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Accounting</w:t>
      </w:r>
      <w:r>
        <w:rPr>
          <w:rFonts w:ascii="Times New Roman" w:cs="Times New Roman" w:eastAsia="Times New Roman" w:hAnsi="Times New Roman"/>
          <w:sz w:val="22"/>
          <w:szCs w:val="22"/>
          <w:color w:val="1A1A1A"/>
        </w:rPr>
        <w:t xml:space="preserve">, </w:t>
      </w:r>
      <w:r>
        <w:rPr>
          <w:rFonts w:ascii="Times New Roman" w:cs="Times New Roman" w:eastAsia="Times New Roman" w:hAnsi="Times New Roman"/>
          <w:b/>
          <w:bCs/>
          <w:sz w:val="22"/>
          <w:szCs w:val="22"/>
          <w:color w:val="1A1A1A"/>
        </w:rPr>
        <w:t xml:space="preserve">Logistics</w:t>
      </w:r>
      <w:r>
        <w:rPr>
          <w:rFonts w:ascii="Times New Roman" w:cs="Times New Roman" w:eastAsia="Times New Roman" w:hAnsi="Times New Roman"/>
          <w:sz w:val="22"/>
          <w:szCs w:val="22"/>
          <w:color w:val="1A1A1A"/>
        </w:rPr>
        <w:t xml:space="preserve">, and </w:t>
      </w:r>
      <w:r>
        <w:rPr>
          <w:rFonts w:ascii="Times New Roman" w:cs="Times New Roman" w:eastAsia="Times New Roman" w:hAnsi="Times New Roman"/>
          <w:b/>
          <w:bCs/>
          <w:sz w:val="22"/>
          <w:szCs w:val="22"/>
          <w:color w:val="1A1A1A"/>
        </w:rPr>
        <w:t xml:space="preserve">Banquet</w:t>
      </w:r>
      <w:r>
        <w:rPr>
          <w:rFonts w:ascii="Times New Roman" w:cs="Times New Roman" w:eastAsia="Times New Roman" w:hAnsi="Times New Roman"/>
          <w:sz w:val="22"/>
          <w:szCs w:val="22"/>
          <w:color w:val="1A1A1A"/>
        </w:rPr>
        <w:t xml:space="preserve">. Switching accounts mid-answer is the slowest part of this demonstration.</w:t>
      </w:r>
    </w:p>
    <w:p>
      <w:pPr>
        <w:spacing w:after="80" w:before="60"/>
      </w:pPr>
      <w:r>
        <w:rPr>
          <w:rFonts w:ascii="Times New Roman" w:cs="Times New Roman" w:eastAsia="Times New Roman" w:hAnsi="Times New Roman"/>
          <w:b/>
          <w:bCs/>
          <w:color w:val="491321"/>
          <w:sz w:val="20"/>
          <w:szCs w:val="20"/>
        </w:rPr>
        <w:t xml:space="preserve">Records prepared by the seed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Record</w:t>
            </w:r>
          </w:p>
        </w:tc>
        <w:tc>
          <w:tcPr>
            <w:tcW w:type="dxa" w:w="6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What it is for</w:t>
            </w:r>
          </w:p>
        </w:tc>
      </w:tr>
      <w:tr>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PD-FREEZE-001</w:t>
            </w:r>
          </w:p>
        </w:tc>
        <w:tc>
          <w:tcPr>
            <w:tcW w:type="dxa" w:w="6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in 3 days, fully paid, every item prepared — the material freeze is active</w:t>
            </w:r>
          </w:p>
        </w:tc>
      </w:tr>
      <w:tr>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PD-SAMEDAY-A</w:t>
            </w:r>
          </w:p>
        </w:tc>
        <w:tc>
          <w:tcPr>
            <w:tcW w:type="dxa" w:w="6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 date as B; holds 1 truck, 1 driver, and 4 banquet staff</w:t>
            </w:r>
          </w:p>
        </w:tc>
      </w:tr>
      <w:tr>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PD-SAMEDAY-B</w:t>
            </w:r>
          </w:p>
        </w:tc>
        <w:tc>
          <w:tcPr>
            <w:tcW w:type="dxa" w:w="6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Same date as A; opens with those resources withheld and A named as the reason</w:t>
            </w:r>
          </w:p>
        </w:tc>
      </w:tr>
      <w:tr>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PD-PR-CANVASS</w:t>
            </w:r>
          </w:p>
        </w:tc>
        <w:tc>
          <w:tcPr>
            <w:tcW w:type="dxa" w:w="6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Three quotations from three suppliers; the cheapest is funded by default</w:t>
            </w:r>
          </w:p>
        </w:tc>
      </w:tr>
      <w:tr>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PD-PR-NOSUPPLIER</w:t>
            </w:r>
          </w:p>
        </w:tc>
        <w:tc>
          <w:tcPr>
            <w:tcW w:type="dxa" w:w="6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Supplier typed in by hand — fails the accreditation check</w:t>
            </w:r>
          </w:p>
        </w:tc>
      </w:tr>
      <w:tr>
        <w:tc>
          <w:tcPr>
            <w:tcW w:type="dxa" w:w="2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PD-PR-WRONGTYPE</w:t>
            </w:r>
          </w:p>
        </w:tc>
        <w:tc>
          <w:tcPr>
            <w:tcW w:type="dxa" w:w="6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Supplier on file and active, but not cleared for a rental</w:t>
            </w:r>
          </w:p>
        </w:tc>
      </w:tr>
    </w:tbl>
    <w:p>
      <w:pPr>
        <w:spacing w:after="160"/>
      </w:pP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Only three of these need to be opened live. </w:t>
      </w:r>
      <w:r>
        <w:rPr>
          <w:rFonts w:ascii="Times New Roman" w:cs="Times New Roman" w:eastAsia="Times New Roman" w:hAnsi="Times New Roman"/>
          <w:color w:val="1A1A1A"/>
          <w:sz w:val="20"/>
          <w:szCs w:val="20"/>
        </w:rPr>
        <w:t xml:space="preserve">PD-FREEZE-001 for comment 4, PD-PR-CANVASS and PD-PR-NOSUPPLIER for comment 5. The rest are there if the panel asks to see the other cases.</w:t>
      </w:r>
    </w:p>
    <w:p>
      <w:pPr>
        <w:pStyle w:val="Heading1"/>
        <w:pageBreakBefore/>
      </w:pPr>
      <w:r>
        <w:rPr>
          <w:rFonts w:ascii="Times New Roman" w:cs="Times New Roman" w:eastAsia="Times New Roman" w:hAnsi="Times New Roman"/>
          <w:b/>
          <w:bCs/>
          <w:color w:val="491321"/>
          <w:sz w:val="40"/>
          <w:szCs w:val="40"/>
        </w:rPr>
        <w:t xml:space="preserve">Comment 4 — Issues With Resources Inside the Locked-In Period</w:t>
      </w:r>
    </w:p>
    <w:p>
      <w:pPr>
        <w:spacing w:before="40" w:after="200"/>
        <w:ind w:left="120"/>
        <w:pBdr>
          <w:left w:val="single" w:sz="18" w:space="8" w:color="7A2E4A"/>
        </w:pBdr>
        <w:shd w:val="clear" w:fill="F2E8ED"/>
      </w:pPr>
      <w:r>
        <w:rPr>
          <w:rFonts w:ascii="Times New Roman" w:cs="Times New Roman" w:eastAsia="Times New Roman" w:hAnsi="Times New Roman"/>
          <w:b/>
          <w:bCs/>
          <w:caps/>
          <w:color w:val="491321"/>
          <w:sz w:val="17"/>
          <w:szCs w:val="17"/>
        </w:rPr>
        <w:t xml:space="preserve">the comment — </w:t>
      </w:r>
      <w:r>
        <w:rPr>
          <w:rFonts w:ascii="Times New Roman" w:cs="Times New Roman" w:eastAsia="Times New Roman" w:hAnsi="Times New Roman"/>
          <w:i/>
          <w:iCs/>
          <w:color w:val="1A1A1A"/>
          <w:sz w:val="22"/>
          <w:szCs w:val="22"/>
        </w:rPr>
        <w:t xml:space="preserve">Accommodate scenarios where there will be issues with allocated or prepared resources within the “locked-in” period — e.g. damaged items, food spoilage, truck maintenance.</w:t>
      </w:r>
    </w:p>
    <w:p>
      <w:pPr>
        <w:pStyle w:val="Heading2"/>
      </w:pPr>
      <w:r>
        <w:rPr>
          <w:rFonts w:ascii="Times New Roman" w:cs="Times New Roman" w:eastAsia="Times New Roman" w:hAnsi="Times New Roman"/>
          <w:b/>
          <w:bCs/>
          <w:color w:val="1A1A1A"/>
          <w:sz w:val="28"/>
          <w:szCs w:val="28"/>
        </w:rPr>
        <w:t xml:space="preserve">4.1 What We Understood the Comment to Mean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comment is about the seven-day material freeze. Before the event, once we are inside that last week, the materials assigned to an event are locked. The panel’s point was that things still go wrong in that week — something breaks, something spoils — and the system has to have an answer for that.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When we checked, the honest position was this: a department could report the problem, but it could not act on it. It had to find an administrator. That is the gap we closed.</w:t>
      </w:r>
    </w:p>
    <w:p>
      <w:pPr>
        <w:pStyle w:val="Heading2"/>
      </w:pPr>
      <w:r>
        <w:rPr>
          <w:rFonts w:ascii="Times New Roman" w:cs="Times New Roman" w:eastAsia="Times New Roman" w:hAnsi="Times New Roman"/>
          <w:b/>
          <w:bCs/>
          <w:color w:val="1A1A1A"/>
          <w:sz w:val="28"/>
          <w:szCs w:val="28"/>
        </w:rPr>
        <w:t xml:space="preserve">4.2 The Basis — Why the Freeze Exists at All</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freeze is the client’s own rule, documented in Appendix H. It exists so that stock already set aside for an event cannot quietly be moved to another event in the last week, when there is no time left to replace it.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So the question we had to answer was not whether to keep the rule. It was what the rule is actually protecting.</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The line that carries this section: </w:t>
      </w:r>
      <w:r>
        <w:rPr>
          <w:rFonts w:ascii="Times New Roman" w:cs="Times New Roman" w:eastAsia="Times New Roman" w:hAnsi="Times New Roman"/>
          <w:color w:val="1A1A1A"/>
          <w:sz w:val="20"/>
          <w:szCs w:val="20"/>
        </w:rPr>
        <w:t xml:space="preserve">the freeze locks what the event is owed — not which physical unit satisfies it. Blocking every change was an over-broad reading of the rule, not the rule itself.</w:t>
      </w:r>
    </w:p>
    <w:p>
      <w:pPr>
        <w:pStyle w:val="Heading2"/>
      </w:pPr>
      <w:r>
        <w:rPr>
          <w:rFonts w:ascii="Times New Roman" w:cs="Times New Roman" w:eastAsia="Times New Roman" w:hAnsi="Times New Roman"/>
          <w:b/>
          <w:bCs/>
          <w:color w:val="1A1A1A"/>
          <w:sz w:val="28"/>
          <w:szCs w:val="28"/>
        </w:rPr>
        <w:t xml:space="preserve">4.3 What We Changed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We separated three things that the system had been treating as one. Withdrawing an item from an event — that stays blocked, because that is what the freeze is for. Recording that something is broken — that is a fact, and it should never have been blocked. And replacing a broken item with an equivalent one — that upholds the rule, because the event still receives what it was promised.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So a like-for-like replacement is now allowed inside the freeze. The quantity cannot change. An incident is filed automatically. Accounting and Admin are notified. And reducing or removing an item still requires management.</w:t>
      </w:r>
    </w:p>
    <w:p>
      <w:pPr>
        <w:pStyle w:val="Heading2"/>
      </w:pPr>
      <w:r>
        <w:rPr>
          <w:rFonts w:ascii="Times New Roman" w:cs="Times New Roman" w:eastAsia="Times New Roman" w:hAnsi="Times New Roman"/>
          <w:b/>
          <w:bCs/>
          <w:color w:val="1A1A1A"/>
          <w:sz w:val="28"/>
          <w:szCs w:val="28"/>
        </w:rPr>
        <w:t xml:space="preserve">4.4 On Screen</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Sign in as Linen. Open PD-FREEZE-001 — event in three days, every item prepared.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This event is three days away, so the freeze is active, and every item has already been prepared.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freeze notice on the item, then at the Report Damage Or Loss &amp; Replace button.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notice says materials are frozen. But the same panel also says a like-for-like replacement is still allowed and will be recorded as an incident — so the rule and its exception are stated in the same place, rather than the user having to find out by being refused.</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Click Report Damage Or Loss &amp; Replace.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dialog states the constraint before anything is entered: the quantity stays the same, so this event still receives what it was promised. We choose what happened, name the replacement, and explain the cause — and that explanation is what becomes the incident report.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Choose Burnt or stained cloth, enter a replacement name, type a short explanation, then click Replace Item.</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item is swapped, the quantity is unchanged, and it goes back to pending preparation because the replacement has not been prepared yet. An incident now exists against this contract, and Accounting and Admin have been told — with the notification title saying it happened inside the freeze window.</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If asked about food spoilage or truck maintenance: </w:t>
      </w:r>
      <w:r>
        <w:rPr>
          <w:rFonts w:ascii="Times New Roman" w:cs="Times New Roman" w:eastAsia="Times New Roman" w:hAnsi="Times New Roman"/>
          <w:color w:val="1A1A1A"/>
          <w:sz w:val="20"/>
          <w:szCs w:val="20"/>
        </w:rPr>
        <w:t xml:space="preserve">those two were never governed by the material freeze — it covers the three inventory lists and the banquet roster only. Kitchen items and vehicles were always changeable. Say that plainly; it is a stronger answer than implying we fixed something that was not broken.</w:t>
      </w:r>
    </w:p>
    <w:p>
      <w:pPr>
        <w:pStyle w:val="Heading2"/>
      </w:pPr>
      <w:r>
        <w:rPr>
          <w:rFonts w:ascii="Times New Roman" w:cs="Times New Roman" w:eastAsia="Times New Roman" w:hAnsi="Times New Roman"/>
          <w:b/>
          <w:bCs/>
          <w:color w:val="1A1A1A"/>
          <w:sz w:val="28"/>
          <w:szCs w:val="28"/>
        </w:rPr>
        <w:t xml:space="preserve">4.5 The Limitation to State Before You Are Asked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One thing we want to be upfront about. The incident records the whole line item, not a partial count. If twelve of a hundred and eighty napkins are stained, the department replaces the line and the incident carries the full quantity. Splitting a line into a damaged part and an intact part is a larger change to the record, and we did not attempt it inside this revision window.</w:t>
      </w:r>
    </w:p>
    <w:p>
      <w:pPr>
        <w:pStyle w:val="Heading1"/>
        <w:pageBreakBefore/>
      </w:pPr>
      <w:r>
        <w:rPr>
          <w:rFonts w:ascii="Times New Roman" w:cs="Times New Roman" w:eastAsia="Times New Roman" w:hAnsi="Times New Roman"/>
          <w:b/>
          <w:bCs/>
          <w:color w:val="491321"/>
          <w:sz w:val="40"/>
          <w:szCs w:val="40"/>
        </w:rPr>
        <w:t xml:space="preserve">Comment 5 — Access to Information at the Point of Decision</w:t>
      </w:r>
    </w:p>
    <w:p>
      <w:pPr>
        <w:spacing w:before="40" w:after="200"/>
        <w:ind w:left="120"/>
        <w:pBdr>
          <w:left w:val="single" w:sz="18" w:space="8" w:color="7A2E4A"/>
        </w:pBdr>
        <w:shd w:val="clear" w:fill="F2E8ED"/>
      </w:pPr>
      <w:r>
        <w:rPr>
          <w:rFonts w:ascii="Times New Roman" w:cs="Times New Roman" w:eastAsia="Times New Roman" w:hAnsi="Times New Roman"/>
          <w:b/>
          <w:bCs/>
          <w:caps/>
          <w:color w:val="491321"/>
          <w:sz w:val="17"/>
          <w:szCs w:val="17"/>
        </w:rPr>
        <w:t xml:space="preserve">the comment — </w:t>
      </w:r>
      <w:r>
        <w:rPr>
          <w:rFonts w:ascii="Times New Roman" w:cs="Times New Roman" w:eastAsia="Times New Roman" w:hAnsi="Times New Roman"/>
          <w:i/>
          <w:iCs/>
          <w:color w:val="1A1A1A"/>
          <w:sz w:val="22"/>
          <w:szCs w:val="22"/>
        </w:rPr>
        <w:t xml:space="preserve">Provide necessary access to information during decision-making activities — e.g. link to relevant documents, list of related events.</w:t>
      </w:r>
    </w:p>
    <w:p>
      <w:pPr>
        <w:pStyle w:val="Heading2"/>
      </w:pPr>
      <w:r>
        <w:rPr>
          <w:rFonts w:ascii="Times New Roman" w:cs="Times New Roman" w:eastAsia="Times New Roman" w:hAnsi="Times New Roman"/>
          <w:b/>
          <w:bCs/>
          <w:color w:val="1A1A1A"/>
          <w:sz w:val="28"/>
          <w:szCs w:val="28"/>
        </w:rPr>
        <w:t xml:space="preserve">5.1 What We Understood the Comment to Mean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When someone is about to make a decision, everything they need to make it correctly should be on that screen — not somewhere they have to go and find.</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clearest example was our own procurement approval. Accounting was being asked to tick four statements, and the information that answers those statements lived in four other places: the contract that caused the request, the quotation, the supplier record, and whether another department had already asked for the same thing. In practice nobody goes and looks. They approve on what is in front of them.</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The failure this prevents: </w:t>
      </w:r>
      <w:r>
        <w:rPr>
          <w:rFonts w:ascii="Times New Roman" w:cs="Times New Roman" w:eastAsia="Times New Roman" w:hAnsi="Times New Roman"/>
          <w:color w:val="1A1A1A"/>
          <w:sz w:val="20"/>
          <w:szCs w:val="20"/>
        </w:rPr>
        <w:t xml:space="preserve">a system that is technically correct and operationally useless — every rule passes, every field validates, and someone still double-books a truck or buys what another department already ordered, because the screen never told them.</w:t>
      </w:r>
    </w:p>
    <w:p>
      <w:pPr>
        <w:pStyle w:val="Heading2"/>
      </w:pPr>
      <w:r>
        <w:rPr>
          <w:rFonts w:ascii="Times New Roman" w:cs="Times New Roman" w:eastAsia="Times New Roman" w:hAnsi="Times New Roman"/>
          <w:b/>
          <w:bCs/>
          <w:color w:val="1A1A1A"/>
          <w:sz w:val="28"/>
          <w:szCs w:val="28"/>
        </w:rPr>
        <w:t xml:space="preserve">5.2 Evidence Beside Every Decision</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Sign in as Accounting. Open Procurement Approval and open PD-PR-CANVASS.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Each line of the checklist now carries the evidence that answers it. The need shows the item, the quantity, and the contract it serves. Pricing shows the unit price, the total, and the quote reference. The timeline shows the needed-by date against the expected delivery date.</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each of the four lines in turn.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reviewer is no longer confirming a statement. They are confirming a statement against the data that supports it, on the same screen.</w:t>
      </w:r>
    </w:p>
    <w:p>
      <w:pPr>
        <w:pStyle w:val="Heading2"/>
      </w:pPr>
      <w:r>
        <w:rPr>
          <w:rFonts w:ascii="Times New Roman" w:cs="Times New Roman" w:eastAsia="Times New Roman" w:hAnsi="Times New Roman"/>
          <w:b/>
          <w:bCs/>
          <w:color w:val="1A1A1A"/>
          <w:sz w:val="28"/>
          <w:szCs w:val="28"/>
        </w:rPr>
        <w:t xml:space="preserve">5.3 The Supplier Check — and Its Basis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supplier line deserves its own explanation, because it is the one the panel asked about directly: what is Accounting verifying, when Purchasing has already chosen the supplier?</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They are answering different questions. Purchasing verifies the supplier can deliver — the right item, in stock, by the date. Accounting verifies the supplier is payable — an accredited business on our own file, still active, cleared for this department and this kind of request, and reachable afterwards for the receipt trail.</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The strongest form of this answer: </w:t>
      </w:r>
      <w:r>
        <w:rPr>
          <w:rFonts w:ascii="Times New Roman" w:cs="Times New Roman" w:eastAsia="Times New Roman" w:hAnsi="Times New Roman"/>
          <w:color w:val="1A1A1A"/>
          <w:sz w:val="20"/>
          <w:szCs w:val="20"/>
        </w:rPr>
        <w:t xml:space="preserve">the supplier directory is maintained by Purchasing — they add and edit it, Accounting is read-only. So the directory cannot also be the check on Purchasing. Whoever chooses the vendor does not release the funds to them.</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five checks under Supplier verified, then at Why this supplier.</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Each check passes or fails with its reason, and the system states why this particular supplier was a match for this request.</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Open PD-PR-NOSUPPLIER.</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Here the first check fails. The supplier was typed in by hand and is not linked to any record in our directory — so there is no accredited business to pay. The correct action is to return the request with Supplier issue, not to approve it.</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If you have time, show PD-PR-WRONGTYPE too. </w:t>
      </w:r>
      <w:r>
        <w:rPr>
          <w:rFonts w:ascii="Times New Roman" w:cs="Times New Roman" w:eastAsia="Times New Roman" w:hAnsi="Times New Roman"/>
          <w:color w:val="1A1A1A"/>
          <w:sz w:val="20"/>
          <w:szCs w:val="20"/>
        </w:rPr>
        <w:t xml:space="preserve">That supplier is on file and active — a reviewer skimming the screen would tick it. It fails only on “cleared for this request type”: they are accredited for purchases, and this is a rental. That is the case a person misses and the system does not.</w:t>
      </w:r>
    </w:p>
    <w:p>
      <w:pPr>
        <w:pStyle w:val="Heading2"/>
      </w:pPr>
      <w:r>
        <w:rPr>
          <w:rFonts w:ascii="Times New Roman" w:cs="Times New Roman" w:eastAsia="Times New Roman" w:hAnsi="Times New Roman"/>
          <w:b/>
          <w:bCs/>
          <w:color w:val="1A1A1A"/>
          <w:sz w:val="28"/>
          <w:szCs w:val="28"/>
        </w:rPr>
        <w:t xml:space="preserve">5.4 Choosing Between Quotations</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Back on PD-PR-CANVASS, point at the canvass under the supplier checks.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Where Purchasing canvassed more than one supplier, all three quotations are shown together, cheapest first, with the funded one marked. The cheapest is funded by default, because that is the choice that needs no explanation.</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Click a dearer quotation.</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Accounting can fund a different one, and the change is recorded on the request. The budget check on approval then uses the quotation that was selected, not the cheapest.</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Accounting selects only from what Purchasing gathered. It cannot introduce a supplier of its own — choosing which suppliers to canvass stays with Purchasing, because that is the judgement they hold.</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Where the canvass is missing: </w:t>
      </w:r>
      <w:r>
        <w:rPr>
          <w:rFonts w:ascii="Times New Roman" w:cs="Times New Roman" w:eastAsia="Times New Roman" w:hAnsi="Times New Roman"/>
          <w:color w:val="1A1A1A"/>
          <w:sz w:val="20"/>
          <w:szCs w:val="20"/>
        </w:rPr>
        <w:t xml:space="preserve">a request with a single quotation says so plainly and names the other suppliers that could have been used. That is a finding, not a blank space — it tells Accounting the canvass was not done.</w:t>
      </w:r>
    </w:p>
    <w:p>
      <w:pPr>
        <w:pStyle w:val="Heading2"/>
      </w:pPr>
      <w:r>
        <w:rPr>
          <w:rFonts w:ascii="Times New Roman" w:cs="Times New Roman" w:eastAsia="Times New Roman" w:hAnsi="Times New Roman"/>
          <w:b/>
          <w:bCs/>
          <w:color w:val="1A1A1A"/>
          <w:sz w:val="28"/>
          <w:szCs w:val="28"/>
        </w:rPr>
        <w:t xml:space="preserve">5.5 Related Events at the Point of Decision</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Sign in as Logistics. Open PD-SAMEDAY-B and go to the Logistics tab.</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This is the second half of the comment — the list of related events. Two events fall on this date. Before, a truck committed to the other event simply disappeared from the list, and there was no way to find out why.</w:t>
      </w:r>
    </w:p>
    <w:p>
      <w:pPr>
        <w:spacing w:after="100"/>
        <w:ind w:left="340"/>
      </w:pPr>
      <w:r>
        <w:rPr>
          <w:rFonts w:ascii="Times New Roman" w:cs="Times New Roman" w:eastAsia="Times New Roman" w:hAnsi="Times New Roman"/>
          <w:b/>
          <w:bCs/>
          <w:caps/>
          <w:color w:val="7A2E4A"/>
          <w:sz w:val="17"/>
          <w:szCs w:val="17"/>
        </w:rPr>
        <w:t xml:space="preserve">do — </w:t>
      </w:r>
      <w:r>
        <w:rPr>
          <w:rFonts w:ascii="Times New Roman" w:cs="Times New Roman" w:eastAsia="Times New Roman" w:hAnsi="Times New Roman"/>
          <w:i/>
          <w:iCs/>
          <w:color w:val="5F5F5F"/>
          <w:sz w:val="19"/>
          <w:szCs w:val="19"/>
        </w:rPr>
        <w:t xml:space="preserve">Point at the Event-date availability line.</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The line now names the competing event and what it holds — one truck and one driver — and says those options are not listed above. The same thing happens for banquet staff.</w:t>
      </w:r>
    </w:p>
    <w:p>
      <w:pPr>
        <w:spacing w:before="80" w:after="160"/>
        <w:ind w:left="120"/>
        <w:pBdr>
          <w:top w:val="single" w:sz="4" w:color="B08699"/>
          <w:left w:val="single" w:sz="4" w:color="B08699"/>
          <w:bottom w:val="single" w:sz="4" w:color="B08699"/>
          <w:right w:val="single" w:sz="4" w:color="B08699"/>
        </w:pBdr>
        <w:shd w:val="clear" w:fill="FBF6F8"/>
      </w:pPr>
      <w:r>
        <w:rPr>
          <w:rFonts w:ascii="Times New Roman" w:cs="Times New Roman" w:eastAsia="Times New Roman" w:hAnsi="Times New Roman"/>
          <w:b/>
          <w:bCs/>
          <w:color w:val="7A2E4A"/>
          <w:sz w:val="20"/>
          <w:szCs w:val="20"/>
        </w:rPr>
        <w:t xml:space="preserve">The precise claim to make here: </w:t>
      </w:r>
      <w:r>
        <w:rPr>
          <w:rFonts w:ascii="Times New Roman" w:cs="Times New Roman" w:eastAsia="Times New Roman" w:hAnsi="Times New Roman"/>
          <w:color w:val="1A1A1A"/>
          <w:sz w:val="20"/>
          <w:szCs w:val="20"/>
        </w:rPr>
        <w:t xml:space="preserve">the constraint was always enforced — nothing about who may be assigned has changed. What we added was telling the user why. That is worth saying in those words, because it is the honest description of the change.</w:t>
      </w:r>
    </w:p>
    <w:p>
      <w:pPr>
        <w:pStyle w:val="Heading1"/>
        <w:pageBreakBefore/>
      </w:pPr>
      <w:r>
        <w:rPr>
          <w:rFonts w:ascii="Times New Roman" w:cs="Times New Roman" w:eastAsia="Times New Roman" w:hAnsi="Times New Roman"/>
          <w:b/>
          <w:bCs/>
          <w:color w:val="491321"/>
          <w:sz w:val="40"/>
          <w:szCs w:val="40"/>
        </w:rPr>
        <w:t xml:space="preserve">Closing and Likely Questions</w:t>
      </w:r>
    </w:p>
    <w:p>
      <w:pPr>
        <w:spacing w:before="60" w:after="140"/>
        <w:ind w:left="340"/>
        <w:pBdr>
          <w:left w:val="single" w:sz="18" w:space="8" w:color="491321"/>
        </w:pBdr>
      </w:pPr>
      <w:r>
        <w:rPr>
          <w:rFonts w:ascii="Times New Roman" w:cs="Times New Roman" w:eastAsia="Times New Roman" w:hAnsi="Times New Roman"/>
          <w:color w:val="1A1A1A"/>
          <w:sz w:val="24"/>
          <w:szCs w:val="24"/>
        </w:rPr>
        <w:t xml:space="preserve">To summarise. For the locked-in period, the freeze now distinguishes withdrawing an item, which stays blocked, from replacing one, which is permitted at the same quantity and always leaves an incident behind. For decision-making, every checklist line carries its evidence, the supplier check states its basis, quotations are compared side by side, and competing events are named rather than silently removing options.</w:t>
      </w:r>
    </w:p>
    <w:p>
      <w:pPr>
        <w:spacing w:after="80" w:before="60"/>
      </w:pPr>
      <w:r>
        <w:rPr>
          <w:rFonts w:ascii="Times New Roman" w:cs="Times New Roman" w:eastAsia="Times New Roman" w:hAnsi="Times New Roman"/>
          <w:b/>
          <w:bCs/>
          <w:color w:val="491321"/>
          <w:sz w:val="20"/>
          <w:szCs w:val="20"/>
        </w:rPr>
        <w:t xml:space="preserve">Questions worth rehearsing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If they ask</w:t>
            </w:r>
          </w:p>
        </w:tc>
        <w:tc>
          <w:tcPr>
            <w:tcW w:type="dxa" w:w="6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Answer</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Are you not weakening the client’s freeze rule?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The rule locks what the event is owed. A replacement at the same quantity delivers exactly that. Withdrawing or reducing an item is what the freeze prevents, and that still requires management.</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Why does Accounting verify a supplier Purchasing already chose?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verifies the supplier can deliver; Accounting verifies they are payable. And the directory is maintained by Purchasing, so it cannot also be the check on Purchasing.</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supplier is already in the system, so why check again?</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Being on file means it is a real business. It does not mean it is right for this request — one of our live requests is accredited and active but not cleared for a rental.</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Should Accounting be choosing the supplier at all?</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It chooses only among quotations Purchasing gathered, and only on price. Choosing which suppliers to canvass stays with Purchasing.</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What if only part of a line is damaged?</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The incident records the whole line. Splitting a line into damaged and intact parts is future work, and we would rather state that than imply otherwise.</w:t>
            </w:r>
          </w:p>
        </w:tc>
      </w:tr>
      <w:tr>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Did the same-day rule change?</w:t>
            </w:r>
          </w:p>
        </w:tc>
        <w:tc>
          <w:tcPr>
            <w:tcW w:type="dxa" w:w="6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It was always enforced. What changed is that the competing event is now named instead of the option quietly disappearing.</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Juan Carlo – Panel Revisions 4 and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spacing w:before="0" w:after="240"/>
      <w:pBdr>
        <w:bottom w:val="single" w:sz="8" w:space="6" w:color="491321"/>
      </w:pBdr>
      <w:outlineLvl w:val="0"/>
    </w:pPr>
    <w:rPr>
      <w:rFonts w:ascii="Times New Roman" w:cs="Times New Roman" w:eastAsia="Times New Roman" w:hAnsi="Times New Roman"/>
      <w:b/>
      <w:bCs/>
      <w:color w:val="491321"/>
      <w:sz w:val="36"/>
      <w:szCs w:val="36"/>
    </w:rPr>
  </w:style>
  <w:style w:type="paragraph" w:styleId="Heading2">
    <w:name w:val="Heading 2"/>
    <w:basedOn w:val="Normal"/>
    <w:next w:val="Normal"/>
    <w:qFormat/>
    <w:pPr>
      <w:keepNext/>
      <w:spacing w:before="280" w:after="12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color w:val="7A2E4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Un-named</cp:lastModifiedBy>
  <cp:revision>1</cp:revision>
  <dcterms:created xsi:type="dcterms:W3CDTF">2026-07-13T01:12:18.417Z</dcterms:created>
  <dcterms:modified xsi:type="dcterms:W3CDTF">2026-07-13T01:12:18.423Z</dcterms:modified>
</cp:coreProperties>
</file>

<file path=docProps/custom.xml><?xml version="1.0" encoding="utf-8"?>
<Properties xmlns="http://schemas.openxmlformats.org/officeDocument/2006/custom-properties" xmlns:vt="http://schemas.openxmlformats.org/officeDocument/2006/docPropsVTypes"/>
</file>