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Times New Roman" w:cs="Times New Roman" w:eastAsia="Times New Roman" w:hAnsi="Times New Roman"/>
          <w:b/>
          <w:bCs/>
          <w:color w:val="491321"/>
          <w:sz w:val="52"/>
          <w:szCs w:val="52"/>
        </w:rPr>
        <w:t xml:space="preserve">JUAN CARLO</w:t>
      </w:r>
    </w:p>
    <w:p>
      <w:pPr>
        <w:spacing w:after="560"/>
        <w:jc w:val="center"/>
      </w:pPr>
      <w:r>
        <w:rPr>
          <w:rFonts w:ascii="Times New Roman" w:cs="Times New Roman" w:eastAsia="Times New Roman" w:hAnsi="Times New Roman"/>
          <w:i/>
          <w:iCs/>
          <w:color w:val="5F5F5F"/>
          <w:sz w:val="22"/>
          <w:szCs w:val="22"/>
        </w:rPr>
        <w:t xml:space="preserve">The Heart of Tasteful Celebrations</w:t>
      </w:r>
    </w:p>
    <w:p>
      <w:pPr>
        <w:spacing w:after="120"/>
        <w:jc w:val="center"/>
      </w:pPr>
      <w:r>
        <w:rPr>
          <w:rFonts w:ascii="Times New Roman" w:cs="Times New Roman" w:eastAsia="Times New Roman" w:hAnsi="Times New Roman"/>
          <w:b/>
          <w:bCs/>
          <w:color w:val="1A1A1A"/>
          <w:sz w:val="26"/>
          <w:szCs w:val="26"/>
        </w:rPr>
        <w:t xml:space="preserve">EVENT MANAGEMENT AND OPERATIONS MONITORING SYSTEM</w:t>
      </w:r>
    </w:p>
    <w:p>
      <w:pPr>
        <w:spacing w:after="100"/>
        <w:jc w:val="center"/>
      </w:pPr>
      <w:r>
        <w:rPr>
          <w:rFonts w:ascii="Times New Roman" w:cs="Times New Roman" w:eastAsia="Times New Roman" w:hAnsi="Times New Roman"/>
          <w:b/>
          <w:bCs/>
          <w:color w:val="491321"/>
          <w:sz w:val="38"/>
          <w:szCs w:val="38"/>
        </w:rPr>
        <w:t xml:space="preserve">DEMONSTRATION OUTLINE</w:t>
      </w:r>
    </w:p>
    <w:p>
      <w:pPr>
        <w:spacing w:after="900"/>
        <w:jc w:val="center"/>
      </w:pPr>
      <w:r>
        <w:rPr>
          <w:rFonts w:ascii="Times New Roman" w:cs="Times New Roman" w:eastAsia="Times New Roman" w:hAnsi="Times New Roman"/>
          <w:b/>
          <w:bCs/>
          <w:color w:val="7A2E4A"/>
          <w:sz w:val="26"/>
          <w:szCs w:val="26"/>
        </w:rPr>
        <w:t xml:space="preserve">Accounting (Budgeting) and Reports Modules</w:t>
      </w:r>
    </w:p>
    <w:p>
      <w:pPr>
        <w:spacing w:after="60"/>
        <w:jc w:val="center"/>
      </w:pPr>
      <w:r>
        <w:rPr>
          <w:rFonts w:ascii="Times New Roman" w:cs="Times New Roman" w:eastAsia="Times New Roman" w:hAnsi="Times New Roman"/>
          <w:i/>
          <w:iCs/>
          <w:color w:val="5F5F5F"/>
          <w:sz w:val="21"/>
          <w:szCs w:val="21"/>
        </w:rPr>
        <w:t xml:space="preserve">A guided walkthrough of the two modules not covered in the previous defense, with the revisions they demonstrate and the corresponding sections of the User Manual.</w:t>
      </w:r>
    </w:p>
    <w:p>
      <w:pPr>
        <w:spacing w:before="1200" w:after="0"/>
        <w:jc w:val="center"/>
      </w:pPr>
      <w:r>
        <w:rPr>
          <w:rFonts w:ascii="Times New Roman" w:cs="Times New Roman" w:eastAsia="Times New Roman" w:hAnsi="Times New Roman"/>
          <w:color w:val="1A1A1A"/>
          <w:sz w:val="21"/>
          <w:szCs w:val="21"/>
        </w:rPr>
        <w:t xml:space="preserve">Companion document: Final User Manual (FinalUserManual.docx)</w:t>
      </w:r>
    </w:p>
    <w:p>
      <w:pPr>
        <w:spacing w:after="0"/>
        <w:jc w:val="center"/>
      </w:pPr>
      <w:r>
        <w:rPr>
          <w:rFonts w:ascii="Times New Roman" w:cs="Times New Roman" w:eastAsia="Times New Roman" w:hAnsi="Times New Roman"/>
          <w:color w:val="1A1A1A"/>
          <w:sz w:val="21"/>
          <w:szCs w:val="21"/>
        </w:rPr>
        <w:t xml:space="preserve">Capstone Defense · CAP-2467-IT</w:t>
      </w:r>
    </w:p>
    <w:p>
      <w:pPr>
        <w:pStyle w:val="Heading1"/>
        <w:pageBreakBefore/>
      </w:pPr>
      <w:r>
        <w:rPr>
          <w:rFonts w:ascii="Times New Roman" w:cs="Times New Roman" w:eastAsia="Times New Roman" w:hAnsi="Times New Roman"/>
          <w:b/>
          <w:bCs/>
          <w:color w:val="491321"/>
          <w:sz w:val="40"/>
          <w:szCs w:val="40"/>
        </w:rPr>
        <w:t xml:space="preserve">1. Purpose and Scope</w:t>
      </w:r>
    </w:p>
    <w:p>
      <w:pPr>
        <w:pStyle w:val="Heading2"/>
      </w:pPr>
      <w:r>
        <w:rPr>
          <w:rFonts w:ascii="Times New Roman" w:cs="Times New Roman" w:eastAsia="Times New Roman" w:hAnsi="Times New Roman"/>
          <w:b/>
          <w:bCs/>
          <w:color w:val="1A1A1A"/>
          <w:sz w:val="28"/>
          <w:szCs w:val="28"/>
        </w:rPr>
        <w:t xml:space="preserve">1.1 What This Demonstration Covers</w:t>
      </w:r>
    </w:p>
    <w:p>
      <w:pPr>
        <w:spacing w:after="160"/>
      </w:pPr>
      <w:r>
        <w:rPr>
          <w:rFonts w:ascii="Times New Roman" w:cs="Times New Roman" w:eastAsia="Times New Roman" w:hAnsi="Times New Roman"/>
          <w:sz w:val="22"/>
          <w:szCs w:val="22"/>
          <w:color w:val="1A1A1A"/>
        </w:rPr>
        <w:t xml:space="preserve">This demonstration presents the two modules that were </w:t>
      </w:r>
      <w:r>
        <w:rPr>
          <w:rFonts w:ascii="Times New Roman" w:cs="Times New Roman" w:eastAsia="Times New Roman" w:hAnsi="Times New Roman"/>
          <w:b/>
          <w:bCs/>
          <w:sz w:val="22"/>
          <w:szCs w:val="22"/>
          <w:color w:val="1A1A1A"/>
        </w:rPr>
        <w:t xml:space="preserve">not</w:t>
      </w:r>
      <w:r>
        <w:rPr>
          <w:rFonts w:ascii="Times New Roman" w:cs="Times New Roman" w:eastAsia="Times New Roman" w:hAnsi="Times New Roman"/>
          <w:sz w:val="22"/>
          <w:szCs w:val="22"/>
          <w:color w:val="1A1A1A"/>
        </w:rPr>
        <w:t xml:space="preserve"> part of the previous defense: the </w:t>
      </w:r>
      <w:r>
        <w:rPr>
          <w:rFonts w:ascii="Times New Roman" w:cs="Times New Roman" w:eastAsia="Times New Roman" w:hAnsi="Times New Roman"/>
          <w:b/>
          <w:bCs/>
          <w:sz w:val="22"/>
          <w:szCs w:val="22"/>
          <w:color w:val="1A1A1A"/>
        </w:rPr>
        <w:t xml:space="preserve">Accounting module, specifically monthly budgeting and its enforcement</w:t>
      </w:r>
      <w:r>
        <w:rPr>
          <w:rFonts w:ascii="Times New Roman" w:cs="Times New Roman" w:eastAsia="Times New Roman" w:hAnsi="Times New Roman"/>
          <w:sz w:val="22"/>
          <w:szCs w:val="22"/>
          <w:color w:val="1A1A1A"/>
        </w:rPr>
        <w:t xml:space="preserve">, and the </w:t>
      </w:r>
      <w:r>
        <w:rPr>
          <w:rFonts w:ascii="Times New Roman" w:cs="Times New Roman" w:eastAsia="Times New Roman" w:hAnsi="Times New Roman"/>
          <w:b/>
          <w:bCs/>
          <w:sz w:val="22"/>
          <w:szCs w:val="22"/>
          <w:color w:val="1A1A1A"/>
        </w:rPr>
        <w:t xml:space="preserve">Reports module</w:t>
      </w:r>
      <w:r>
        <w:rPr>
          <w:rFonts w:ascii="Times New Roman" w:cs="Times New Roman" w:eastAsia="Times New Roman" w:hAnsi="Times New Roman"/>
          <w:sz w:val="22"/>
          <w:szCs w:val="22"/>
          <w:color w:val="1A1A1A"/>
        </w:rPr>
        <w:t xml:space="preserve">. Both are shown live, and every step in this outline points to the section of the User Manual that documents it, so the panel can follow along in the manual while the system is being operated.</w:t>
      </w:r>
    </w:p>
    <w:p>
      <w:pPr>
        <w:pStyle w:val="Heading2"/>
      </w:pPr>
      <w:r>
        <w:rPr>
          <w:rFonts w:ascii="Times New Roman" w:cs="Times New Roman" w:eastAsia="Times New Roman" w:hAnsi="Times New Roman"/>
          <w:b/>
          <w:bCs/>
          <w:color w:val="1A1A1A"/>
          <w:sz w:val="28"/>
          <w:szCs w:val="28"/>
        </w:rPr>
        <w:t xml:space="preserve">1.2 What Is Deliberately Excluded</w:t>
      </w:r>
    </w:p>
    <w:p>
      <w:pPr>
        <w:spacing w:after="160"/>
      </w:pPr>
      <w:r>
        <w:rPr>
          <w:rFonts w:ascii="Times New Roman" w:cs="Times New Roman" w:eastAsia="Times New Roman" w:hAnsi="Times New Roman"/>
          <w:sz w:val="22"/>
          <w:szCs w:val="22"/>
          <w:color w:val="1A1A1A"/>
        </w:rPr>
        <w:t xml:space="preserve">The </w:t>
      </w:r>
      <w:r>
        <w:rPr>
          <w:rFonts w:ascii="Times New Roman" w:cs="Times New Roman" w:eastAsia="Times New Roman" w:hAnsi="Times New Roman"/>
          <w:b/>
          <w:bCs/>
          <w:sz w:val="22"/>
          <w:szCs w:val="22"/>
          <w:color w:val="1A1A1A"/>
        </w:rPr>
        <w:t xml:space="preserve">full contract journey</w:t>
      </w:r>
      <w:r>
        <w:rPr>
          <w:rFonts w:ascii="Times New Roman" w:cs="Times New Roman" w:eastAsia="Times New Roman" w:hAnsi="Times New Roman"/>
          <w:sz w:val="22"/>
          <w:szCs w:val="22"/>
          <w:color w:val="1A1A1A"/>
        </w:rPr>
        <w:t xml:space="preserve"> — booking, contract creation, department validation, signature, approval, pre-event preparation, and closing — was demonstrated in the previous defense and is </w:t>
      </w:r>
      <w:r>
        <w:rPr>
          <w:rFonts w:ascii="Times New Roman" w:cs="Times New Roman" w:eastAsia="Times New Roman" w:hAnsi="Times New Roman"/>
          <w:b/>
          <w:bCs/>
          <w:sz w:val="22"/>
          <w:szCs w:val="22"/>
          <w:color w:val="1A1A1A"/>
        </w:rPr>
        <w:t xml:space="preserve">not repeated here</w:t>
      </w:r>
      <w:r>
        <w:rPr>
          <w:rFonts w:ascii="Times New Roman" w:cs="Times New Roman" w:eastAsia="Times New Roman" w:hAnsi="Times New Roman"/>
          <w:sz w:val="22"/>
          <w:szCs w:val="22"/>
          <w:color w:val="1A1A1A"/>
        </w:rPr>
        <w:t xml:space="preserve">. It remains documented in the User Manual (Chapters 3 to 12 and Appendix B) for reference.</w:t>
      </w:r>
    </w:p>
    <w:p>
      <w:pPr>
        <w:pStyle w:val="Heading2"/>
      </w:pPr>
      <w:r>
        <w:rPr>
          <w:rFonts w:ascii="Times New Roman" w:cs="Times New Roman" w:eastAsia="Times New Roman" w:hAnsi="Times New Roman"/>
          <w:b/>
          <w:bCs/>
          <w:color w:val="1A1A1A"/>
          <w:sz w:val="28"/>
          <w:szCs w:val="28"/>
        </w:rPr>
        <w:t xml:space="preserve">1.3 Opening Statement</w:t>
      </w:r>
    </w:p>
    <w:p>
      <w:pPr>
        <w:spacing w:after="140"/>
        <w:ind w:left="360"/>
      </w:pPr>
      <w:r>
        <w:rPr>
          <w:rFonts w:ascii="Times New Roman" w:cs="Times New Roman" w:eastAsia="Times New Roman" w:hAnsi="Times New Roman"/>
          <w:b/>
          <w:bCs/>
          <w:color w:val="5F5F5F"/>
          <w:sz w:val="21"/>
          <w:szCs w:val="21"/>
        </w:rPr>
        <w:t xml:space="preserve">Say: </w:t>
      </w:r>
      <w:r>
        <w:rPr>
          <w:rFonts w:ascii="Times New Roman" w:cs="Times New Roman" w:eastAsia="Times New Roman" w:hAnsi="Times New Roman"/>
          <w:i/>
          <w:iCs/>
          <w:color w:val="3A3A3A"/>
          <w:sz w:val="21"/>
          <w:szCs w:val="21"/>
        </w:rPr>
        <w:t xml:space="preserve">“Since the contract lifecycle was covered in our last defense, we are focusing on the two modules that were not: how Accounting sets and enforces its operating budget, and what the system reports back. We will be following Chapter 4 and Chapter 13 of the user manual.”</w:t>
      </w:r>
    </w:p>
    <w:p>
      <w:pPr>
        <w:pStyle w:val="Heading2"/>
      </w:pPr>
      <w:r>
        <w:rPr>
          <w:rFonts w:ascii="Times New Roman" w:cs="Times New Roman" w:eastAsia="Times New Roman" w:hAnsi="Times New Roman"/>
          <w:b/>
          <w:bCs/>
          <w:color w:val="1A1A1A"/>
          <w:sz w:val="28"/>
          <w:szCs w:val="28"/>
        </w:rPr>
        <w:t xml:space="preserve">1.4 Following Along in the User Manual</w:t>
      </w:r>
    </w:p>
    <w:p>
      <w:pPr>
        <w:spacing w:after="160"/>
      </w:pPr>
      <w:r>
        <w:rPr>
          <w:rFonts w:ascii="Times New Roman" w:cs="Times New Roman" w:eastAsia="Times New Roman" w:hAnsi="Times New Roman"/>
          <w:sz w:val="22"/>
          <w:szCs w:val="22"/>
          <w:color w:val="1A1A1A"/>
        </w:rPr>
        <w:t xml:space="preserve">Each part of the demonstration corresponds to the manual sections below.</w:t>
      </w:r>
    </w:p>
    <w:p>
      <w:pPr>
        <w:spacing w:after="80" w:before="60"/>
      </w:pPr>
      <w:r>
        <w:rPr>
          <w:rFonts w:ascii="Times New Roman" w:cs="Times New Roman" w:eastAsia="Times New Roman" w:hAnsi="Times New Roman"/>
          <w:b/>
          <w:bCs/>
          <w:color w:val="491321"/>
          <w:sz w:val="20"/>
          <w:szCs w:val="20"/>
        </w:rPr>
        <w:t xml:space="preserve">Table 1.1 Demonstration Parts and User Manual References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700"/>
        <w:gridCol w:w="2700"/>
      </w:tblGrid>
      <w:tr>
        <w:trPr>
          <w:tblHeader/>
        </w:trPr>
        <w:tc>
          <w:tcPr>
            <w:tcW w:type="dxa" w:w="7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Part</w:t>
            </w:r>
          </w:p>
        </w:tc>
        <w:tc>
          <w:tcPr>
            <w:tcW w:type="dxa" w:w="33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Demonstration Topic</w:t>
            </w:r>
          </w:p>
        </w:tc>
        <w:tc>
          <w:tcPr>
            <w:tcW w:type="dxa" w:w="27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Manual Section</w:t>
            </w:r>
          </w:p>
        </w:tc>
        <w:tc>
          <w:tcPr>
            <w:tcW w:type="dxa" w:w="27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Figure / Table</w:t>
            </w:r>
          </w:p>
        </w:tc>
      </w:tr>
      <w:tr>
        <w:tc>
          <w:tcPr>
            <w:tcW w:type="dxa" w:w="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1</w:t>
            </w:r>
          </w:p>
        </w:tc>
        <w:tc>
          <w:tcPr>
            <w:tcW w:type="dxa" w:w="3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Setting the monthly operating budget</w:t>
            </w:r>
          </w:p>
        </w:tc>
        <w:tc>
          <w:tcPr>
            <w:tcW w:type="dxa" w:w="2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§4.8 Monthly Operating Budget</w:t>
            </w:r>
          </w:p>
        </w:tc>
        <w:tc>
          <w:tcPr>
            <w:tcW w:type="dxa" w:w="2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Figure 4.8.1</w:t>
            </w:r>
          </w:p>
        </w:tc>
      </w:tr>
      <w:tr>
        <w:tc>
          <w:tcPr>
            <w:tcW w:type="dxa" w:w="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2</w:t>
            </w:r>
          </w:p>
        </w:tc>
        <w:tc>
          <w:tcPr>
            <w:tcW w:type="dxa" w:w="3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Budget enforcement in procurement approval</w:t>
            </w:r>
          </w:p>
        </w:tc>
        <w:tc>
          <w:tcPr>
            <w:tcW w:type="dxa" w:w="2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§4.7 Procurement Budget Approval</w:t>
            </w:r>
          </w:p>
        </w:tc>
        <w:tc>
          <w:tcPr>
            <w:tcW w:type="dxa" w:w="2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Figure 4.7.1 · Table 4.3</w:t>
            </w:r>
          </w:p>
        </w:tc>
      </w:tr>
      <w:tr>
        <w:tc>
          <w:tcPr>
            <w:tcW w:type="dxa" w:w="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3</w:t>
            </w:r>
          </w:p>
        </w:tc>
        <w:tc>
          <w:tcPr>
            <w:tcW w:type="dxa" w:w="3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Reports module</w:t>
            </w:r>
          </w:p>
        </w:tc>
        <w:tc>
          <w:tcPr>
            <w:tcW w:type="dxa" w:w="2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§13.1 Department Reports</w:t>
            </w:r>
          </w:p>
        </w:tc>
        <w:tc>
          <w:tcPr>
            <w:tcW w:type="dxa" w:w="2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Figure 13.1.1 · Table 13.1</w:t>
            </w:r>
          </w:p>
        </w:tc>
      </w:tr>
      <w:tr>
        <w:tc>
          <w:tcPr>
            <w:tcW w:type="dxa" w:w="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w:t>
            </w:r>
          </w:p>
        </w:tc>
        <w:tc>
          <w:tcPr>
            <w:tcW w:type="dxa" w:w="3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Closing scenario (payment hold and contract close)</w:t>
            </w:r>
          </w:p>
        </w:tc>
        <w:tc>
          <w:tcPr>
            <w:tcW w:type="dxa" w:w="2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§4.6 · §4.9 · §4.10</w:t>
            </w:r>
          </w:p>
        </w:tc>
        <w:tc>
          <w:tcPr>
            <w:tcW w:type="dxa" w:w="2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Figure 4.6.1 · Table A.1</w:t>
            </w:r>
          </w:p>
        </w:tc>
      </w:tr>
      <w:tr>
        <w:tc>
          <w:tcPr>
            <w:tcW w:type="dxa" w:w="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w:t>
            </w:r>
          </w:p>
        </w:tc>
        <w:tc>
          <w:tcPr>
            <w:tcW w:type="dxa" w:w="3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Role overview and features (reference)</w:t>
            </w:r>
          </w:p>
        </w:tc>
        <w:tc>
          <w:tcPr>
            <w:tcW w:type="dxa" w:w="2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§4.1 Role Overview and Features</w:t>
            </w:r>
          </w:p>
        </w:tc>
        <w:tc>
          <w:tcPr>
            <w:tcW w:type="dxa" w:w="2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Table 4.1</w:t>
            </w:r>
          </w:p>
        </w:tc>
      </w:tr>
      <w:tr>
        <w:tc>
          <w:tcPr>
            <w:tcW w:type="dxa" w:w="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w:t>
            </w:r>
          </w:p>
        </w:tc>
        <w:tc>
          <w:tcPr>
            <w:tcW w:type="dxa" w:w="3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Notifications received by Accounting (reference)</w:t>
            </w:r>
          </w:p>
        </w:tc>
        <w:tc>
          <w:tcPr>
            <w:tcW w:type="dxa" w:w="2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§4.2 Notifications</w:t>
            </w:r>
          </w:p>
        </w:tc>
        <w:tc>
          <w:tcPr>
            <w:tcW w:type="dxa" w:w="2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Table 4.2</w:t>
            </w:r>
          </w:p>
        </w:tc>
      </w:tr>
    </w:tbl>
    <w:p>
      <w:pPr>
        <w:spacing w:after="160"/>
      </w:pPr>
    </w:p>
    <w:p>
      <w:pPr>
        <w:pStyle w:val="Heading1"/>
        <w:pageBreakBefore/>
      </w:pPr>
      <w:r>
        <w:rPr>
          <w:rFonts w:ascii="Times New Roman" w:cs="Times New Roman" w:eastAsia="Times New Roman" w:hAnsi="Times New Roman"/>
          <w:b/>
          <w:bCs/>
          <w:color w:val="491321"/>
          <w:sz w:val="40"/>
          <w:szCs w:val="40"/>
        </w:rPr>
        <w:t xml:space="preserve">2. Pre-Demonstration Checklist</w:t>
      </w:r>
    </w:p>
    <w:p>
      <w:pPr>
        <w:spacing w:after="160"/>
      </w:pPr>
      <w:r>
        <w:rPr>
          <w:rFonts w:ascii="Times New Roman" w:cs="Times New Roman" w:eastAsia="Times New Roman" w:hAnsi="Times New Roman"/>
          <w:sz w:val="22"/>
          <w:szCs w:val="22"/>
          <w:color w:val="1A1A1A"/>
        </w:rPr>
        <w:t xml:space="preserve">Complete these steps before the panel arrives.</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Start the system. The backend runs on port 5000 and the interface on port 5173.</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Log in with the </w:t>
      </w:r>
      <w:r>
        <w:rPr>
          <w:rFonts w:ascii="Times New Roman" w:cs="Times New Roman" w:eastAsia="Times New Roman" w:hAnsi="Times New Roman"/>
          <w:b/>
          <w:bCs/>
          <w:sz w:val="22"/>
          <w:szCs w:val="22"/>
          <w:color w:val="1A1A1A"/>
        </w:rPr>
        <w:t xml:space="preserve">Accounting</w:t>
      </w:r>
      <w:r>
        <w:rPr>
          <w:rFonts w:ascii="Times New Roman" w:cs="Times New Roman" w:eastAsia="Times New Roman" w:hAnsi="Times New Roman"/>
          <w:sz w:val="22"/>
          <w:szCs w:val="22"/>
          <w:color w:val="1A1A1A"/>
        </w:rPr>
        <w:t xml:space="preserve"> account. The entire demonstration is performed in this role.</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Confirm the </w:t>
      </w:r>
      <w:r>
        <w:rPr>
          <w:rFonts w:ascii="Times New Roman" w:cs="Times New Roman" w:eastAsia="Times New Roman" w:hAnsi="Times New Roman"/>
          <w:b/>
          <w:bCs/>
          <w:sz w:val="22"/>
          <w:szCs w:val="22"/>
          <w:color w:val="1A1A1A"/>
        </w:rPr>
        <w:t xml:space="preserve">August 2026</w:t>
      </w:r>
      <w:r>
        <w:rPr>
          <w:rFonts w:ascii="Times New Roman" w:cs="Times New Roman" w:eastAsia="Times New Roman" w:hAnsi="Times New Roman"/>
          <w:sz w:val="22"/>
          <w:szCs w:val="22"/>
          <w:color w:val="1A1A1A"/>
        </w:rPr>
        <w:t xml:space="preserve"> budget exists, with Creative ₱50,000, Linen ₱40,000, and Stockroom ₱60,000 allocated.</w:t>
      </w:r>
    </w:p>
    <w:p>
      <w:pPr>
        <w:spacing w:after="80"/>
        <w:ind w:left="480" w:hanging="360"/>
      </w:pPr>
      <w:r>
        <w:rPr>
          <w:rFonts w:ascii="Times New Roman" w:cs="Times New Roman" w:eastAsia="Times New Roman" w:hAnsi="Times New Roman"/>
          <w:b/>
          <w:bCs/>
          <w:sz w:val="22"/>
          <w:szCs w:val="22"/>
          <w:color w:val="1A1A1A"/>
        </w:rPr>
        <w:t xml:space="preserve">4.</w:t>
      </w:r>
      <w:r>
        <w:rPr>
          <w:rFonts w:ascii="Times New Roman" w:cs="Times New Roman" w:eastAsia="Times New Roman" w:hAnsi="Times New Roman"/>
          <w:sz w:val="22"/>
          <w:szCs w:val="22"/>
          <w:color w:val="1A1A1A"/>
        </w:rPr>
        <w:t xml:space="preserve"> Confirm the approval queue still contains request </w:t>
      </w:r>
      <w:r>
        <w:rPr>
          <w:rFonts w:ascii="Times New Roman" w:cs="Times New Roman" w:eastAsia="Times New Roman" w:hAnsi="Times New Roman"/>
          <w:b/>
          <w:bCs/>
          <w:sz w:val="22"/>
          <w:szCs w:val="22"/>
          <w:color w:val="1A1A1A"/>
        </w:rPr>
        <w:t xml:space="preserve">PR-26-0007</w:t>
      </w:r>
      <w:r>
        <w:rPr>
          <w:rFonts w:ascii="Times New Roman" w:cs="Times New Roman" w:eastAsia="Times New Roman" w:hAnsi="Times New Roman"/>
          <w:sz w:val="22"/>
          <w:szCs w:val="22"/>
          <w:color w:val="1A1A1A"/>
        </w:rPr>
        <w:t xml:space="preserve"> (Creative · Tropical Entrance · ₱7,000), which is used in Part 2.</w:t>
      </w:r>
    </w:p>
    <w:p>
      <w:pPr>
        <w:spacing w:after="80"/>
        <w:ind w:left="480" w:hanging="360"/>
      </w:pPr>
      <w:r>
        <w:rPr>
          <w:rFonts w:ascii="Times New Roman" w:cs="Times New Roman" w:eastAsia="Times New Roman" w:hAnsi="Times New Roman"/>
          <w:b/>
          <w:bCs/>
          <w:sz w:val="22"/>
          <w:szCs w:val="22"/>
          <w:color w:val="1A1A1A"/>
        </w:rPr>
        <w:t xml:space="preserve">5.</w:t>
      </w:r>
      <w:r>
        <w:rPr>
          <w:rFonts w:ascii="Times New Roman" w:cs="Times New Roman" w:eastAsia="Times New Roman" w:hAnsi="Times New Roman"/>
          <w:sz w:val="22"/>
          <w:szCs w:val="22"/>
          <w:color w:val="1A1A1A"/>
        </w:rPr>
        <w:t xml:space="preserve"> Prepare the enforcement demonstration: temporarily lower </w:t>
      </w:r>
      <w:r>
        <w:rPr>
          <w:rFonts w:ascii="Times New Roman" w:cs="Times New Roman" w:eastAsia="Times New Roman" w:hAnsi="Times New Roman"/>
          <w:b/>
          <w:bCs/>
          <w:sz w:val="22"/>
          <w:szCs w:val="22"/>
          <w:color w:val="1A1A1A"/>
        </w:rPr>
        <w:t xml:space="preserve">Creative Inventory to ₱5,000</w:t>
      </w:r>
      <w:r>
        <w:rPr>
          <w:rFonts w:ascii="Times New Roman" w:cs="Times New Roman" w:eastAsia="Times New Roman" w:hAnsi="Times New Roman"/>
          <w:sz w:val="22"/>
          <w:szCs w:val="22"/>
          <w:color w:val="1A1A1A"/>
        </w:rPr>
        <w:t xml:space="preserve"> and save, so the ₱7,000 request is blocked live.</w:t>
      </w:r>
    </w:p>
    <w:p>
      <w:pPr>
        <w:spacing w:after="80"/>
        <w:ind w:left="480" w:hanging="360"/>
      </w:pPr>
      <w:r>
        <w:rPr>
          <w:rFonts w:ascii="Times New Roman" w:cs="Times New Roman" w:eastAsia="Times New Roman" w:hAnsi="Times New Roman"/>
          <w:b/>
          <w:bCs/>
          <w:sz w:val="22"/>
          <w:szCs w:val="22"/>
          <w:color w:val="1A1A1A"/>
        </w:rPr>
        <w:t xml:space="preserve">6.</w:t>
      </w:r>
      <w:r>
        <w:rPr>
          <w:rFonts w:ascii="Times New Roman" w:cs="Times New Roman" w:eastAsia="Times New Roman" w:hAnsi="Times New Roman"/>
          <w:sz w:val="22"/>
          <w:szCs w:val="22"/>
          <w:color w:val="1A1A1A"/>
        </w:rPr>
        <w:t xml:space="preserve"> Open the User Manual at Chapter 4, either printed or on a second screen.</w:t>
      </w:r>
    </w:p>
    <w:p>
      <w:pPr>
        <w:spacing w:before="80" w:after="160"/>
        <w:ind w:left="120"/>
        <w:pBdr>
          <w:top w:val="single" w:sz="4" w:color="B08699"/>
          <w:left w:val="single" w:sz="4" w:color="B08699"/>
          <w:bottom w:val="single" w:sz="4" w:color="B08699"/>
          <w:right w:val="single" w:sz="4" w:color="B08699"/>
        </w:pBdr>
        <w:shd w:val="clear" w:fill="FBF6F8"/>
      </w:pPr>
      <w:r>
        <w:rPr>
          <w:rFonts w:ascii="Times New Roman" w:cs="Times New Roman" w:eastAsia="Times New Roman" w:hAnsi="Times New Roman"/>
          <w:b/>
          <w:bCs/>
          <w:color w:val="7A2E4A"/>
          <w:sz w:val="20"/>
          <w:szCs w:val="20"/>
        </w:rPr>
        <w:t xml:space="preserve">Why step 5 is required: </w:t>
      </w:r>
      <w:r>
        <w:rPr>
          <w:rFonts w:ascii="Times New Roman" w:cs="Times New Roman" w:eastAsia="Times New Roman" w:hAnsi="Times New Roman"/>
          <w:color w:val="1A1A1A"/>
          <w:sz w:val="20"/>
          <w:szCs w:val="20"/>
        </w:rPr>
        <w:t xml:space="preserve">all pending requests are currently below their category budgets, so an over-budget block will not occur on its own. Either lower the Creative allocation beforehand as described, or narrate the rule from Table 4.3 instead of demonstrating it.</w:t>
      </w:r>
    </w:p>
    <w:p>
      <w:pPr>
        <w:spacing w:before="80" w:after="160"/>
        <w:ind w:left="120"/>
        <w:pBdr>
          <w:top w:val="single" w:sz="4" w:color="B08699"/>
          <w:left w:val="single" w:sz="4" w:color="B08699"/>
          <w:bottom w:val="single" w:sz="4" w:color="B08699"/>
          <w:right w:val="single" w:sz="4" w:color="B08699"/>
        </w:pBdr>
        <w:shd w:val="clear" w:fill="FBF6F8"/>
      </w:pPr>
      <w:r>
        <w:rPr>
          <w:rFonts w:ascii="Times New Roman" w:cs="Times New Roman" w:eastAsia="Times New Roman" w:hAnsi="Times New Roman"/>
          <w:b/>
          <w:bCs/>
          <w:color w:val="7A2E4A"/>
          <w:sz w:val="20"/>
          <w:szCs w:val="20"/>
        </w:rPr>
        <w:t xml:space="preserve">After the demonstration: </w:t>
      </w:r>
      <w:r>
        <w:rPr>
          <w:rFonts w:ascii="Times New Roman" w:cs="Times New Roman" w:eastAsia="Times New Roman" w:hAnsi="Times New Roman"/>
          <w:color w:val="1A1A1A"/>
          <w:sz w:val="20"/>
          <w:szCs w:val="20"/>
        </w:rPr>
        <w:t xml:space="preserve">restore the Creative Inventory allocation to ₱50,000.</w:t>
      </w:r>
    </w:p>
    <w:p>
      <w:pPr>
        <w:pStyle w:val="Heading1"/>
        <w:pageBreakBefore/>
      </w:pPr>
      <w:r>
        <w:rPr>
          <w:rFonts w:ascii="Times New Roman" w:cs="Times New Roman" w:eastAsia="Times New Roman" w:hAnsi="Times New Roman"/>
          <w:b/>
          <w:bCs/>
          <w:color w:val="491321"/>
          <w:sz w:val="40"/>
          <w:szCs w:val="40"/>
        </w:rPr>
        <w:t xml:space="preserve">3. Part 1 — Setting the Monthly Operating Budget</w:t>
      </w:r>
    </w:p>
    <w:p>
      <w:pPr>
        <w:spacing w:before="80" w:after="160"/>
        <w:ind w:left="120"/>
        <w:pBdr>
          <w:left w:val="single" w:sz="18" w:space="6" w:color="491321"/>
        </w:pBdr>
        <w:shd w:val="clear" w:fill="F7F1F4"/>
      </w:pPr>
      <w:r>
        <w:rPr>
          <w:rFonts w:ascii="Times New Roman" w:cs="Times New Roman" w:eastAsia="Times New Roman" w:hAnsi="Times New Roman"/>
          <w:b/>
          <w:bCs/>
          <w:color w:val="491321"/>
          <w:sz w:val="19"/>
          <w:szCs w:val="19"/>
        </w:rPr>
        <w:t xml:space="preserve">USER MANUAL: </w:t>
      </w:r>
      <w:r>
        <w:rPr>
          <w:rFonts w:ascii="Times New Roman" w:cs="Times New Roman" w:eastAsia="Times New Roman" w:hAnsi="Times New Roman"/>
          <w:color w:val="491321"/>
          <w:sz w:val="19"/>
          <w:szCs w:val="19"/>
        </w:rPr>
        <w:t xml:space="preserve">§4.8 Monthly Operating Budget · Figure 4.8.1 (Monthly budget editor) · supporting: Table 4.1 Accounting Features</w:t>
      </w:r>
    </w:p>
    <w:p>
      <w:pPr>
        <w:spacing w:after="160"/>
      </w:pPr>
      <w:r>
        <w:rPr>
          <w:rFonts w:ascii="Times New Roman" w:cs="Times New Roman" w:eastAsia="Times New Roman" w:hAnsi="Times New Roman"/>
          <w:b/>
          <w:bCs/>
          <w:sz w:val="22"/>
          <w:szCs w:val="22"/>
          <w:color w:val="1A1A1A"/>
        </w:rPr>
        <w:t xml:space="preserve">Duration:</w:t>
      </w:r>
      <w:r>
        <w:rPr>
          <w:rFonts w:ascii="Times New Roman" w:cs="Times New Roman" w:eastAsia="Times New Roman" w:hAnsi="Times New Roman"/>
          <w:sz w:val="22"/>
          <w:szCs w:val="22"/>
          <w:color w:val="1A1A1A"/>
        </w:rPr>
        <w:t xml:space="preserve"> approximately 2 minutes.</w:t>
      </w:r>
    </w:p>
    <w:p>
      <w:pPr>
        <w:spacing w:after="140"/>
        <w:ind w:left="360"/>
      </w:pPr>
      <w:r>
        <w:rPr>
          <w:rFonts w:ascii="Times New Roman" w:cs="Times New Roman" w:eastAsia="Times New Roman" w:hAnsi="Times New Roman"/>
          <w:b/>
          <w:bCs/>
          <w:color w:val="5F5F5F"/>
          <w:sz w:val="21"/>
          <w:szCs w:val="21"/>
        </w:rPr>
        <w:t xml:space="preserve">Say: </w:t>
      </w:r>
      <w:r>
        <w:rPr>
          <w:rFonts w:ascii="Times New Roman" w:cs="Times New Roman" w:eastAsia="Times New Roman" w:hAnsi="Times New Roman"/>
          <w:i/>
          <w:iCs/>
          <w:color w:val="3A3A3A"/>
          <w:sz w:val="21"/>
          <w:szCs w:val="21"/>
        </w:rPr>
        <w:t xml:space="preserve">“Accounting sets an operating budget every month. It is not a static figure — the system proposes amounts based on actual spending history.”</w:t>
      </w:r>
    </w:p>
    <w:p>
      <w:pPr>
        <w:pStyle w:val="Heading2"/>
      </w:pPr>
      <w:r>
        <w:rPr>
          <w:rFonts w:ascii="Times New Roman" w:cs="Times New Roman" w:eastAsia="Times New Roman" w:hAnsi="Times New Roman"/>
          <w:b/>
          <w:bCs/>
          <w:color w:val="1A1A1A"/>
          <w:sz w:val="28"/>
          <w:szCs w:val="28"/>
        </w:rPr>
        <w:t xml:space="preserve">3.1 Procedure</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From the Accounting Dashboard, open the </w:t>
      </w:r>
      <w:r>
        <w:rPr>
          <w:rFonts w:ascii="Times New Roman" w:cs="Times New Roman" w:eastAsia="Times New Roman" w:hAnsi="Times New Roman"/>
          <w:b/>
          <w:bCs/>
          <w:sz w:val="22"/>
          <w:szCs w:val="22"/>
          <w:color w:val="1A1A1A"/>
        </w:rPr>
        <w:t xml:space="preserve">Finance</w:t>
      </w:r>
      <w:r>
        <w:rPr>
          <w:rFonts w:ascii="Times New Roman" w:cs="Times New Roman" w:eastAsia="Times New Roman" w:hAnsi="Times New Roman"/>
          <w:sz w:val="22"/>
          <w:szCs w:val="22"/>
          <w:color w:val="1A1A1A"/>
        </w:rPr>
        <w:t xml:space="preserve"> tab.</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Point out the month selector and the current allocation for each department category.</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Click </w:t>
      </w:r>
      <w:r>
        <w:rPr>
          <w:rFonts w:ascii="Times New Roman" w:cs="Times New Roman" w:eastAsia="Times New Roman" w:hAnsi="Times New Roman"/>
          <w:b/>
          <w:bCs/>
          <w:sz w:val="22"/>
          <w:szCs w:val="22"/>
          <w:color w:val="1A1A1A"/>
        </w:rPr>
        <w:t xml:space="preserve">Standard Amounts</w:t>
      </w:r>
      <w:r>
        <w:rPr>
          <w:rFonts w:ascii="Times New Roman" w:cs="Times New Roman" w:eastAsia="Times New Roman" w:hAnsi="Times New Roman"/>
          <w:sz w:val="22"/>
          <w:szCs w:val="22"/>
          <w:color w:val="1A1A1A"/>
        </w:rPr>
        <w:t xml:space="preserve"> to show the template baseline.</w:t>
      </w:r>
    </w:p>
    <w:p>
      <w:pPr>
        <w:spacing w:after="80"/>
        <w:ind w:left="480" w:hanging="360"/>
      </w:pPr>
      <w:r>
        <w:rPr>
          <w:rFonts w:ascii="Times New Roman" w:cs="Times New Roman" w:eastAsia="Times New Roman" w:hAnsi="Times New Roman"/>
          <w:b/>
          <w:bCs/>
          <w:sz w:val="22"/>
          <w:szCs w:val="22"/>
          <w:color w:val="1A1A1A"/>
        </w:rPr>
        <w:t xml:space="preserve">4.</w:t>
      </w:r>
      <w:r>
        <w:rPr>
          <w:rFonts w:ascii="Times New Roman" w:cs="Times New Roman" w:eastAsia="Times New Roman" w:hAnsi="Times New Roman"/>
          <w:sz w:val="22"/>
          <w:szCs w:val="22"/>
          <w:color w:val="1A1A1A"/>
        </w:rPr>
        <w:t xml:space="preserve"> Click </w:t>
      </w:r>
      <w:r>
        <w:rPr>
          <w:rFonts w:ascii="Times New Roman" w:cs="Times New Roman" w:eastAsia="Times New Roman" w:hAnsi="Times New Roman"/>
          <w:b/>
          <w:bCs/>
          <w:sz w:val="22"/>
          <w:szCs w:val="22"/>
          <w:color w:val="1A1A1A"/>
        </w:rPr>
        <w:t xml:space="preserve">Suggest From Last 3 Months</w:t>
      </w:r>
      <w:r>
        <w:rPr>
          <w:rFonts w:ascii="Times New Roman" w:cs="Times New Roman" w:eastAsia="Times New Roman" w:hAnsi="Times New Roman"/>
          <w:sz w:val="22"/>
          <w:szCs w:val="22"/>
          <w:color w:val="1A1A1A"/>
        </w:rPr>
        <w:t xml:space="preserve">. The Creative, Linen, and Stockroom amounts update.</w:t>
      </w:r>
    </w:p>
    <w:p>
      <w:pPr>
        <w:spacing w:after="80"/>
        <w:ind w:left="480" w:hanging="360"/>
      </w:pPr>
      <w:r>
        <w:rPr>
          <w:rFonts w:ascii="Times New Roman" w:cs="Times New Roman" w:eastAsia="Times New Roman" w:hAnsi="Times New Roman"/>
          <w:b/>
          <w:bCs/>
          <w:sz w:val="22"/>
          <w:szCs w:val="22"/>
          <w:color w:val="1A1A1A"/>
        </w:rPr>
        <w:t xml:space="preserve">5.</w:t>
      </w:r>
      <w:r>
        <w:rPr>
          <w:rFonts w:ascii="Times New Roman" w:cs="Times New Roman" w:eastAsia="Times New Roman" w:hAnsi="Times New Roman"/>
          <w:sz w:val="22"/>
          <w:szCs w:val="22"/>
          <w:color w:val="1A1A1A"/>
        </w:rPr>
        <w:t xml:space="preserve"> Read the </w:t>
      </w:r>
      <w:r>
        <w:rPr>
          <w:rFonts w:ascii="Times New Roman" w:cs="Times New Roman" w:eastAsia="Times New Roman" w:hAnsi="Times New Roman"/>
          <w:b/>
          <w:bCs/>
          <w:sz w:val="22"/>
          <w:szCs w:val="22"/>
          <w:color w:val="1A1A1A"/>
        </w:rPr>
        <w:t xml:space="preserve">Basis</w:t>
      </w:r>
      <w:r>
        <w:rPr>
          <w:rFonts w:ascii="Times New Roman" w:cs="Times New Roman" w:eastAsia="Times New Roman" w:hAnsi="Times New Roman"/>
          <w:sz w:val="22"/>
          <w:szCs w:val="22"/>
          <w:color w:val="1A1A1A"/>
        </w:rPr>
        <w:t xml:space="preserve"> line aloud: the suggestion derives those three categories from the trailing three-month average of confirmed procurement spend; the remaining categories use the standard template amount.</w:t>
      </w:r>
    </w:p>
    <w:p>
      <w:pPr>
        <w:spacing w:after="80"/>
        <w:ind w:left="480" w:hanging="360"/>
      </w:pPr>
      <w:r>
        <w:rPr>
          <w:rFonts w:ascii="Times New Roman" w:cs="Times New Roman" w:eastAsia="Times New Roman" w:hAnsi="Times New Roman"/>
          <w:b/>
          <w:bCs/>
          <w:sz w:val="22"/>
          <w:szCs w:val="22"/>
          <w:color w:val="1A1A1A"/>
        </w:rPr>
        <w:t xml:space="preserve">6.</w:t>
      </w:r>
      <w:r>
        <w:rPr>
          <w:rFonts w:ascii="Times New Roman" w:cs="Times New Roman" w:eastAsia="Times New Roman" w:hAnsi="Times New Roman"/>
          <w:sz w:val="22"/>
          <w:szCs w:val="22"/>
          <w:color w:val="1A1A1A"/>
        </w:rPr>
        <w:t xml:space="preserve"> Point to </w:t>
      </w:r>
      <w:r>
        <w:rPr>
          <w:rFonts w:ascii="Times New Roman" w:cs="Times New Roman" w:eastAsia="Times New Roman" w:hAnsi="Times New Roman"/>
          <w:b/>
          <w:bCs/>
          <w:sz w:val="22"/>
          <w:szCs w:val="22"/>
          <w:color w:val="1A1A1A"/>
        </w:rPr>
        <w:t xml:space="preserve">Allocated total</w:t>
      </w:r>
      <w:r>
        <w:rPr>
          <w:rFonts w:ascii="Times New Roman" w:cs="Times New Roman" w:eastAsia="Times New Roman" w:hAnsi="Times New Roman"/>
          <w:sz w:val="22"/>
          <w:szCs w:val="22"/>
          <w:color w:val="1A1A1A"/>
        </w:rPr>
        <w:t xml:space="preserve"> and </w:t>
      </w:r>
      <w:r>
        <w:rPr>
          <w:rFonts w:ascii="Times New Roman" w:cs="Times New Roman" w:eastAsia="Times New Roman" w:hAnsi="Times New Roman"/>
          <w:b/>
          <w:bCs/>
          <w:sz w:val="22"/>
          <w:szCs w:val="22"/>
          <w:color w:val="1A1A1A"/>
        </w:rPr>
        <w:t xml:space="preserve">Unallocated</w:t>
      </w:r>
      <w:r>
        <w:rPr>
          <w:rFonts w:ascii="Times New Roman" w:cs="Times New Roman" w:eastAsia="Times New Roman" w:hAnsi="Times New Roman"/>
          <w:sz w:val="22"/>
          <w:szCs w:val="22"/>
          <w:color w:val="1A1A1A"/>
        </w:rPr>
        <w:t xml:space="preserve"> at the foot of the table.</w:t>
      </w:r>
    </w:p>
    <w:p>
      <w:pPr>
        <w:spacing w:after="80"/>
        <w:ind w:left="480" w:hanging="360"/>
      </w:pPr>
      <w:r>
        <w:rPr>
          <w:rFonts w:ascii="Times New Roman" w:cs="Times New Roman" w:eastAsia="Times New Roman" w:hAnsi="Times New Roman"/>
          <w:b/>
          <w:bCs/>
          <w:sz w:val="22"/>
          <w:szCs w:val="22"/>
          <w:color w:val="1A1A1A"/>
        </w:rPr>
        <w:t xml:space="preserve">7.</w:t>
      </w:r>
      <w:r>
        <w:rPr>
          <w:rFonts w:ascii="Times New Roman" w:cs="Times New Roman" w:eastAsia="Times New Roman" w:hAnsi="Times New Roman"/>
          <w:sz w:val="22"/>
          <w:szCs w:val="22"/>
          <w:color w:val="1A1A1A"/>
        </w:rPr>
        <w:t xml:space="preserve"> Click </w:t>
      </w:r>
      <w:r>
        <w:rPr>
          <w:rFonts w:ascii="Times New Roman" w:cs="Times New Roman" w:eastAsia="Times New Roman" w:hAnsi="Times New Roman"/>
          <w:b/>
          <w:bCs/>
          <w:sz w:val="22"/>
          <w:szCs w:val="22"/>
          <w:color w:val="1A1A1A"/>
        </w:rPr>
        <w:t xml:space="preserve">Save Monthly Budget</w:t>
      </w:r>
      <w:r>
        <w:rPr>
          <w:rFonts w:ascii="Times New Roman" w:cs="Times New Roman" w:eastAsia="Times New Roman" w:hAnsi="Times New Roman"/>
          <w:sz w:val="22"/>
          <w:szCs w:val="22"/>
          <w:color w:val="1A1A1A"/>
        </w:rPr>
        <w:t xml:space="preserve">.</w:t>
      </w:r>
    </w:p>
    <w:p>
      <w:pPr>
        <w:pStyle w:val="Heading2"/>
      </w:pPr>
      <w:r>
        <w:rPr>
          <w:rFonts w:ascii="Times New Roman" w:cs="Times New Roman" w:eastAsia="Times New Roman" w:hAnsi="Times New Roman"/>
          <w:b/>
          <w:bCs/>
          <w:color w:val="1A1A1A"/>
          <w:sz w:val="28"/>
          <w:szCs w:val="28"/>
        </w:rPr>
        <w:t xml:space="preserve">3.2 Point to Emphasise</w:t>
      </w:r>
    </w:p>
    <w:p>
      <w:pPr>
        <w:spacing w:after="140"/>
        <w:ind w:left="360"/>
      </w:pPr>
      <w:r>
        <w:rPr>
          <w:rFonts w:ascii="Times New Roman" w:cs="Times New Roman" w:eastAsia="Times New Roman" w:hAnsi="Times New Roman"/>
          <w:b/>
          <w:bCs/>
          <w:color w:val="5F5F5F"/>
          <w:sz w:val="21"/>
          <w:szCs w:val="21"/>
        </w:rPr>
        <w:t xml:space="preserve">Say: </w:t>
      </w:r>
      <w:r>
        <w:rPr>
          <w:rFonts w:ascii="Times New Roman" w:cs="Times New Roman" w:eastAsia="Times New Roman" w:hAnsi="Times New Roman"/>
          <w:i/>
          <w:iCs/>
          <w:color w:val="3A3A3A"/>
          <w:sz w:val="21"/>
          <w:szCs w:val="21"/>
        </w:rPr>
        <w:t xml:space="preserve">“The budget is data-derived, not estimated — it comes from what the departments actually spent.”</w:t>
      </w:r>
    </w:p>
    <w:p>
      <w:pPr>
        <w:pStyle w:val="Heading1"/>
        <w:pageBreakBefore/>
      </w:pPr>
      <w:r>
        <w:rPr>
          <w:rFonts w:ascii="Times New Roman" w:cs="Times New Roman" w:eastAsia="Times New Roman" w:hAnsi="Times New Roman"/>
          <w:b/>
          <w:bCs/>
          <w:color w:val="491321"/>
          <w:sz w:val="40"/>
          <w:szCs w:val="40"/>
        </w:rPr>
        <w:t xml:space="preserve">4. Part 2 — The Budget as a Control</w:t>
      </w:r>
    </w:p>
    <w:p>
      <w:pPr>
        <w:spacing w:before="80" w:after="160"/>
        <w:ind w:left="120"/>
        <w:pBdr>
          <w:left w:val="single" w:sz="18" w:space="6" w:color="491321"/>
        </w:pBdr>
        <w:shd w:val="clear" w:fill="F7F1F4"/>
      </w:pPr>
      <w:r>
        <w:rPr>
          <w:rFonts w:ascii="Times New Roman" w:cs="Times New Roman" w:eastAsia="Times New Roman" w:hAnsi="Times New Roman"/>
          <w:b/>
          <w:bCs/>
          <w:color w:val="491321"/>
          <w:sz w:val="19"/>
          <w:szCs w:val="19"/>
        </w:rPr>
        <w:t xml:space="preserve">USER MANUAL: </w:t>
      </w:r>
      <w:r>
        <w:rPr>
          <w:rFonts w:ascii="Times New Roman" w:cs="Times New Roman" w:eastAsia="Times New Roman" w:hAnsi="Times New Roman"/>
          <w:color w:val="491321"/>
          <w:sz w:val="19"/>
          <w:szCs w:val="19"/>
        </w:rPr>
        <w:t xml:space="preserve">§4.7 Procurement Budget Approval · Figure 4.7.1 (approval queue with review checklist) · Table 4.3 Financial Business Rules</w:t>
      </w:r>
    </w:p>
    <w:p>
      <w:pPr>
        <w:spacing w:after="160"/>
      </w:pPr>
      <w:r>
        <w:rPr>
          <w:rFonts w:ascii="Times New Roman" w:cs="Times New Roman" w:eastAsia="Times New Roman" w:hAnsi="Times New Roman"/>
          <w:b/>
          <w:bCs/>
          <w:sz w:val="22"/>
          <w:szCs w:val="22"/>
          <w:color w:val="1A1A1A"/>
        </w:rPr>
        <w:t xml:space="preserve">Duration:</w:t>
      </w:r>
      <w:r>
        <w:rPr>
          <w:rFonts w:ascii="Times New Roman" w:cs="Times New Roman" w:eastAsia="Times New Roman" w:hAnsi="Times New Roman"/>
          <w:sz w:val="22"/>
          <w:szCs w:val="22"/>
          <w:color w:val="1A1A1A"/>
        </w:rPr>
        <w:t xml:space="preserve"> approximately 3 minutes. This is the most important part of the demonstration.</w:t>
      </w:r>
    </w:p>
    <w:p>
      <w:pPr>
        <w:spacing w:after="140"/>
        <w:ind w:left="360"/>
      </w:pPr>
      <w:r>
        <w:rPr>
          <w:rFonts w:ascii="Times New Roman" w:cs="Times New Roman" w:eastAsia="Times New Roman" w:hAnsi="Times New Roman"/>
          <w:b/>
          <w:bCs/>
          <w:color w:val="5F5F5F"/>
          <w:sz w:val="21"/>
          <w:szCs w:val="21"/>
        </w:rPr>
        <w:t xml:space="preserve">Say: </w:t>
      </w:r>
      <w:r>
        <w:rPr>
          <w:rFonts w:ascii="Times New Roman" w:cs="Times New Roman" w:eastAsia="Times New Roman" w:hAnsi="Times New Roman"/>
          <w:i/>
          <w:iCs/>
          <w:color w:val="3A3A3A"/>
          <w:sz w:val="21"/>
          <w:szCs w:val="21"/>
        </w:rPr>
        <w:t xml:space="preserve">“A budget that only records numbers is not a control. Here is the budget actually deciding whether money is released.”</w:t>
      </w:r>
    </w:p>
    <w:p>
      <w:pPr>
        <w:pStyle w:val="Heading2"/>
      </w:pPr>
      <w:r>
        <w:rPr>
          <w:rFonts w:ascii="Times New Roman" w:cs="Times New Roman" w:eastAsia="Times New Roman" w:hAnsi="Times New Roman"/>
          <w:b/>
          <w:bCs/>
          <w:color w:val="1A1A1A"/>
          <w:sz w:val="28"/>
          <w:szCs w:val="28"/>
        </w:rPr>
        <w:t xml:space="preserve">4.1 A Normal Approval</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From the Accounting Dashboard, open the </w:t>
      </w:r>
      <w:r>
        <w:rPr>
          <w:rFonts w:ascii="Times New Roman" w:cs="Times New Roman" w:eastAsia="Times New Roman" w:hAnsi="Times New Roman"/>
          <w:b/>
          <w:bCs/>
          <w:sz w:val="22"/>
          <w:szCs w:val="22"/>
          <w:color w:val="1A1A1A"/>
        </w:rPr>
        <w:t xml:space="preserve">Procurement Approval</w:t>
      </w:r>
      <w:r>
        <w:rPr>
          <w:rFonts w:ascii="Times New Roman" w:cs="Times New Roman" w:eastAsia="Times New Roman" w:hAnsi="Times New Roman"/>
          <w:sz w:val="22"/>
          <w:szCs w:val="22"/>
          <w:color w:val="1A1A1A"/>
        </w:rPr>
        <w:t xml:space="preserve"> tab.</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Demonstrate the sorting filters — newest first, oldest first, by event date, or by date needed.</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Open a request that fits within budget, for example </w:t>
      </w:r>
      <w:r>
        <w:rPr>
          <w:rFonts w:ascii="Times New Roman" w:cs="Times New Roman" w:eastAsia="Times New Roman" w:hAnsi="Times New Roman"/>
          <w:b/>
          <w:bCs/>
          <w:sz w:val="22"/>
          <w:szCs w:val="22"/>
          <w:color w:val="1A1A1A"/>
        </w:rPr>
        <w:t xml:space="preserve">PR-26-0030</w:t>
      </w:r>
      <w:r>
        <w:rPr>
          <w:rFonts w:ascii="Times New Roman" w:cs="Times New Roman" w:eastAsia="Times New Roman" w:hAnsi="Times New Roman"/>
          <w:sz w:val="22"/>
          <w:szCs w:val="22"/>
          <w:color w:val="1A1A1A"/>
        </w:rPr>
        <w:t xml:space="preserve"> (Stockroom · Crates · ₱1,800).</w:t>
      </w:r>
    </w:p>
    <w:p>
      <w:pPr>
        <w:spacing w:after="80"/>
        <w:ind w:left="480" w:hanging="360"/>
      </w:pPr>
      <w:r>
        <w:rPr>
          <w:rFonts w:ascii="Times New Roman" w:cs="Times New Roman" w:eastAsia="Times New Roman" w:hAnsi="Times New Roman"/>
          <w:b/>
          <w:bCs/>
          <w:sz w:val="22"/>
          <w:szCs w:val="22"/>
          <w:color w:val="1A1A1A"/>
        </w:rPr>
        <w:t xml:space="preserve">4.</w:t>
      </w:r>
      <w:r>
        <w:rPr>
          <w:rFonts w:ascii="Times New Roman" w:cs="Times New Roman" w:eastAsia="Times New Roman" w:hAnsi="Times New Roman"/>
          <w:sz w:val="22"/>
          <w:szCs w:val="22"/>
          <w:color w:val="1A1A1A"/>
        </w:rPr>
        <w:t xml:space="preserve"> Walk through the </w:t>
      </w:r>
      <w:r>
        <w:rPr>
          <w:rFonts w:ascii="Times New Roman" w:cs="Times New Roman" w:eastAsia="Times New Roman" w:hAnsi="Times New Roman"/>
          <w:b/>
          <w:bCs/>
          <w:sz w:val="22"/>
          <w:szCs w:val="22"/>
          <w:color w:val="1A1A1A"/>
        </w:rPr>
        <w:t xml:space="preserve">review checklist</w:t>
      </w:r>
      <w:r>
        <w:rPr>
          <w:rFonts w:ascii="Times New Roman" w:cs="Times New Roman" w:eastAsia="Times New Roman" w:hAnsi="Times New Roman"/>
          <w:sz w:val="22"/>
          <w:szCs w:val="22"/>
          <w:color w:val="1A1A1A"/>
        </w:rPr>
        <w:t xml:space="preserve">. Every item must be ticked before approval is permitted.</w:t>
      </w:r>
    </w:p>
    <w:p>
      <w:pPr>
        <w:spacing w:after="80"/>
        <w:ind w:left="480" w:hanging="360"/>
      </w:pPr>
      <w:r>
        <w:rPr>
          <w:rFonts w:ascii="Times New Roman" w:cs="Times New Roman" w:eastAsia="Times New Roman" w:hAnsi="Times New Roman"/>
          <w:b/>
          <w:bCs/>
          <w:sz w:val="22"/>
          <w:szCs w:val="22"/>
          <w:color w:val="1A1A1A"/>
        </w:rPr>
        <w:t xml:space="preserve">5.</w:t>
      </w:r>
      <w:r>
        <w:rPr>
          <w:rFonts w:ascii="Times New Roman" w:cs="Times New Roman" w:eastAsia="Times New Roman" w:hAnsi="Times New Roman"/>
          <w:sz w:val="22"/>
          <w:szCs w:val="22"/>
          <w:color w:val="1A1A1A"/>
        </w:rPr>
        <w:t xml:space="preserve"> Show the </w:t>
      </w:r>
      <w:r>
        <w:rPr>
          <w:rFonts w:ascii="Times New Roman" w:cs="Times New Roman" w:eastAsia="Times New Roman" w:hAnsi="Times New Roman"/>
          <w:b/>
          <w:bCs/>
          <w:sz w:val="22"/>
          <w:szCs w:val="22"/>
          <w:color w:val="1A1A1A"/>
        </w:rPr>
        <w:t xml:space="preserve">budget basis note</w:t>
      </w:r>
      <w:r>
        <w:rPr>
          <w:rFonts w:ascii="Times New Roman" w:cs="Times New Roman" w:eastAsia="Times New Roman" w:hAnsi="Times New Roman"/>
          <w:sz w:val="22"/>
          <w:szCs w:val="22"/>
          <w:color w:val="1A1A1A"/>
        </w:rPr>
        <w:t xml:space="preserve">: the category allocation, the amount available before approval, and the amount remaining after approval.</w:t>
      </w:r>
    </w:p>
    <w:p>
      <w:pPr>
        <w:spacing w:after="80"/>
        <w:ind w:left="480" w:hanging="360"/>
      </w:pPr>
      <w:r>
        <w:rPr>
          <w:rFonts w:ascii="Times New Roman" w:cs="Times New Roman" w:eastAsia="Times New Roman" w:hAnsi="Times New Roman"/>
          <w:b/>
          <w:bCs/>
          <w:sz w:val="22"/>
          <w:szCs w:val="22"/>
          <w:color w:val="1A1A1A"/>
        </w:rPr>
        <w:t xml:space="preserve">6.</w:t>
      </w:r>
      <w:r>
        <w:rPr>
          <w:rFonts w:ascii="Times New Roman" w:cs="Times New Roman" w:eastAsia="Times New Roman" w:hAnsi="Times New Roman"/>
          <w:sz w:val="22"/>
          <w:szCs w:val="22"/>
          <w:color w:val="1A1A1A"/>
        </w:rPr>
        <w:t xml:space="preserve"> Approve the request. Purchasing is notified and may now acquire the item.</w:t>
      </w:r>
    </w:p>
    <w:p>
      <w:pPr>
        <w:pStyle w:val="Heading2"/>
      </w:pPr>
      <w:r>
        <w:rPr>
          <w:rFonts w:ascii="Times New Roman" w:cs="Times New Roman" w:eastAsia="Times New Roman" w:hAnsi="Times New Roman"/>
          <w:b/>
          <w:bCs/>
          <w:color w:val="1A1A1A"/>
          <w:sz w:val="28"/>
          <w:szCs w:val="28"/>
        </w:rPr>
        <w:t xml:space="preserve">4.2 A Blocked, Over-Budget Request</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w:t>
      </w:r>
      <w:r>
        <w:rPr>
          <w:rFonts w:ascii="Times New Roman" w:cs="Times New Roman" w:eastAsia="Times New Roman" w:hAnsi="Times New Roman"/>
          <w:b/>
          <w:bCs/>
          <w:sz w:val="22"/>
          <w:szCs w:val="22"/>
          <w:color w:val="1A1A1A"/>
        </w:rPr>
        <w:t xml:space="preserve">PR-26-0007</w:t>
      </w:r>
      <w:r>
        <w:rPr>
          <w:rFonts w:ascii="Times New Roman" w:cs="Times New Roman" w:eastAsia="Times New Roman" w:hAnsi="Times New Roman"/>
          <w:sz w:val="22"/>
          <w:szCs w:val="22"/>
          <w:color w:val="1A1A1A"/>
        </w:rPr>
        <w:t xml:space="preserve"> (Creative · Tropical Entrance · ₱7,000) against the reduced ₱5,000 Creative allocation.</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Attempt to approve it. The system </w:t>
      </w:r>
      <w:r>
        <w:rPr>
          <w:rFonts w:ascii="Times New Roman" w:cs="Times New Roman" w:eastAsia="Times New Roman" w:hAnsi="Times New Roman"/>
          <w:b/>
          <w:bCs/>
          <w:sz w:val="22"/>
          <w:szCs w:val="22"/>
          <w:color w:val="1A1A1A"/>
        </w:rPr>
        <w:t xml:space="preserve">blocks the approval</w:t>
      </w:r>
      <w:r>
        <w:rPr>
          <w:rFonts w:ascii="Times New Roman" w:cs="Times New Roman" w:eastAsia="Times New Roman" w:hAnsi="Times New Roman"/>
          <w:sz w:val="22"/>
          <w:szCs w:val="22"/>
          <w:color w:val="1A1A1A"/>
        </w:rPr>
        <w:t xml:space="preserve"> and reports the shortfall between the requested amount and the amount available.</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Optionally, return the request with a reason so that Purchasing can revise the quotation, demonstrating the full round trip.</w:t>
      </w:r>
    </w:p>
    <w:p>
      <w:pPr>
        <w:pStyle w:val="Heading2"/>
      </w:pPr>
      <w:r>
        <w:rPr>
          <w:rFonts w:ascii="Times New Roman" w:cs="Times New Roman" w:eastAsia="Times New Roman" w:hAnsi="Times New Roman"/>
          <w:b/>
          <w:bCs/>
          <w:color w:val="1A1A1A"/>
          <w:sz w:val="28"/>
          <w:szCs w:val="28"/>
        </w:rPr>
        <w:t xml:space="preserve">4.3 Point to Emphasise</w:t>
      </w:r>
    </w:p>
    <w:p>
      <w:pPr>
        <w:spacing w:after="140"/>
        <w:ind w:left="360"/>
      </w:pPr>
      <w:r>
        <w:rPr>
          <w:rFonts w:ascii="Times New Roman" w:cs="Times New Roman" w:eastAsia="Times New Roman" w:hAnsi="Times New Roman"/>
          <w:b/>
          <w:bCs/>
          <w:color w:val="5F5F5F"/>
          <w:sz w:val="21"/>
          <w:szCs w:val="21"/>
        </w:rPr>
        <w:t xml:space="preserve">Say: </w:t>
      </w:r>
      <w:r>
        <w:rPr>
          <w:rFonts w:ascii="Times New Roman" w:cs="Times New Roman" w:eastAsia="Times New Roman" w:hAnsi="Times New Roman"/>
          <w:i/>
          <w:iCs/>
          <w:color w:val="3A3A3A"/>
          <w:sz w:val="21"/>
          <w:szCs w:val="21"/>
        </w:rPr>
        <w:t xml:space="preserve">“Budget approval is enforced by the system, not by memory.”</w:t>
      </w:r>
    </w:p>
    <w:p>
      <w:pPr>
        <w:pStyle w:val="Heading1"/>
        <w:pageBreakBefore/>
      </w:pPr>
      <w:r>
        <w:rPr>
          <w:rFonts w:ascii="Times New Roman" w:cs="Times New Roman" w:eastAsia="Times New Roman" w:hAnsi="Times New Roman"/>
          <w:b/>
          <w:bCs/>
          <w:color w:val="491321"/>
          <w:sz w:val="40"/>
          <w:szCs w:val="40"/>
        </w:rPr>
        <w:t xml:space="preserve">5. Part 3 — The Reports Module</w:t>
      </w:r>
    </w:p>
    <w:p>
      <w:pPr>
        <w:spacing w:before="80" w:after="160"/>
        <w:ind w:left="120"/>
        <w:pBdr>
          <w:left w:val="single" w:sz="18" w:space="6" w:color="491321"/>
        </w:pBdr>
        <w:shd w:val="clear" w:fill="F7F1F4"/>
      </w:pPr>
      <w:r>
        <w:rPr>
          <w:rFonts w:ascii="Times New Roman" w:cs="Times New Roman" w:eastAsia="Times New Roman" w:hAnsi="Times New Roman"/>
          <w:b/>
          <w:bCs/>
          <w:color w:val="491321"/>
          <w:sz w:val="19"/>
          <w:szCs w:val="19"/>
        </w:rPr>
        <w:t xml:space="preserve">USER MANUAL: </w:t>
      </w:r>
      <w:r>
        <w:rPr>
          <w:rFonts w:ascii="Times New Roman" w:cs="Times New Roman" w:eastAsia="Times New Roman" w:hAnsi="Times New Roman"/>
          <w:color w:val="491321"/>
          <w:sz w:val="19"/>
          <w:szCs w:val="19"/>
        </w:rPr>
        <w:t xml:space="preserve">§13.1 Department Reports · Table 13.1 Report Contents per Role · Figure 13.1.1 (Reports page)</w:t>
      </w:r>
    </w:p>
    <w:p>
      <w:pPr>
        <w:spacing w:after="160"/>
      </w:pPr>
      <w:r>
        <w:rPr>
          <w:rFonts w:ascii="Times New Roman" w:cs="Times New Roman" w:eastAsia="Times New Roman" w:hAnsi="Times New Roman"/>
          <w:b/>
          <w:bCs/>
          <w:sz w:val="22"/>
          <w:szCs w:val="22"/>
          <w:color w:val="1A1A1A"/>
        </w:rPr>
        <w:t xml:space="preserve">Duration:</w:t>
      </w:r>
      <w:r>
        <w:rPr>
          <w:rFonts w:ascii="Times New Roman" w:cs="Times New Roman" w:eastAsia="Times New Roman" w:hAnsi="Times New Roman"/>
          <w:sz w:val="22"/>
          <w:szCs w:val="22"/>
          <w:color w:val="1A1A1A"/>
        </w:rPr>
        <w:t xml:space="preserve"> approximately 4 minutes.</w:t>
      </w:r>
    </w:p>
    <w:p>
      <w:pPr>
        <w:spacing w:after="140"/>
        <w:ind w:left="360"/>
      </w:pPr>
      <w:r>
        <w:rPr>
          <w:rFonts w:ascii="Times New Roman" w:cs="Times New Roman" w:eastAsia="Times New Roman" w:hAnsi="Times New Roman"/>
          <w:b/>
          <w:bCs/>
          <w:color w:val="5F5F5F"/>
          <w:sz w:val="21"/>
          <w:szCs w:val="21"/>
        </w:rPr>
        <w:t xml:space="preserve">Say: </w:t>
      </w:r>
      <w:r>
        <w:rPr>
          <w:rFonts w:ascii="Times New Roman" w:cs="Times New Roman" w:eastAsia="Times New Roman" w:hAnsi="Times New Roman"/>
          <w:i/>
          <w:iCs/>
          <w:color w:val="3A3A3A"/>
          <w:sz w:val="21"/>
          <w:szCs w:val="21"/>
        </w:rPr>
        <w:t xml:space="preserve">“Reports are role-based — every department receives its own. Table 13.1 in the manual lists what each role sees. We will show the Accounting report.”</w:t>
      </w:r>
    </w:p>
    <w:p>
      <w:pPr>
        <w:pStyle w:val="Heading2"/>
      </w:pPr>
      <w:r>
        <w:rPr>
          <w:rFonts w:ascii="Times New Roman" w:cs="Times New Roman" w:eastAsia="Times New Roman" w:hAnsi="Times New Roman"/>
          <w:b/>
          <w:bCs/>
          <w:color w:val="1A1A1A"/>
          <w:sz w:val="28"/>
          <w:szCs w:val="28"/>
        </w:rPr>
        <w:t xml:space="preserve">5.1 Procedure</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w:t>
      </w:r>
      <w:r>
        <w:rPr>
          <w:rFonts w:ascii="Times New Roman" w:cs="Times New Roman" w:eastAsia="Times New Roman" w:hAnsi="Times New Roman"/>
          <w:b/>
          <w:bCs/>
          <w:sz w:val="22"/>
          <w:szCs w:val="22"/>
          <w:color w:val="1A1A1A"/>
        </w:rPr>
        <w:t xml:space="preserve">Reports</w:t>
      </w:r>
      <w:r>
        <w:rPr>
          <w:rFonts w:ascii="Times New Roman" w:cs="Times New Roman" w:eastAsia="Times New Roman" w:hAnsi="Times New Roman"/>
          <w:sz w:val="22"/>
          <w:szCs w:val="22"/>
          <w:color w:val="1A1A1A"/>
        </w:rPr>
        <w:t xml:space="preserve"> while still signed in as Accounting, and set a wide date range so the charts are populated.</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Review the </w:t>
      </w:r>
      <w:r>
        <w:rPr>
          <w:rFonts w:ascii="Times New Roman" w:cs="Times New Roman" w:eastAsia="Times New Roman" w:hAnsi="Times New Roman"/>
          <w:b/>
          <w:bCs/>
          <w:sz w:val="22"/>
          <w:szCs w:val="22"/>
          <w:color w:val="1A1A1A"/>
        </w:rPr>
        <w:t xml:space="preserve">summary cards</w:t>
      </w:r>
      <w:r>
        <w:rPr>
          <w:rFonts w:ascii="Times New Roman" w:cs="Times New Roman" w:eastAsia="Times New Roman" w:hAnsi="Times New Roman"/>
          <w:sz w:val="22"/>
          <w:szCs w:val="22"/>
          <w:color w:val="1A1A1A"/>
        </w:rPr>
        <w:t xml:space="preserve">: Contract Revenue, Cash Collected, Accounts Receivable, Overdue A/R, and Available Budget Estimate.</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Show the </w:t>
      </w:r>
      <w:r>
        <w:rPr>
          <w:rFonts w:ascii="Times New Roman" w:cs="Times New Roman" w:eastAsia="Times New Roman" w:hAnsi="Times New Roman"/>
          <w:b/>
          <w:bCs/>
          <w:sz w:val="22"/>
          <w:szCs w:val="22"/>
          <w:color w:val="1A1A1A"/>
        </w:rPr>
        <w:t xml:space="preserve">Monthly Collections Trend</w:t>
      </w:r>
      <w:r>
        <w:rPr>
          <w:rFonts w:ascii="Times New Roman" w:cs="Times New Roman" w:eastAsia="Times New Roman" w:hAnsi="Times New Roman"/>
          <w:sz w:val="22"/>
          <w:szCs w:val="22"/>
          <w:color w:val="1A1A1A"/>
        </w:rPr>
        <w:t xml:space="preserve"> — completed client payments over the trailing six months.</w:t>
      </w:r>
    </w:p>
    <w:p>
      <w:pPr>
        <w:spacing w:after="80"/>
        <w:ind w:left="480" w:hanging="360"/>
      </w:pPr>
      <w:r>
        <w:rPr>
          <w:rFonts w:ascii="Times New Roman" w:cs="Times New Roman" w:eastAsia="Times New Roman" w:hAnsi="Times New Roman"/>
          <w:b/>
          <w:bCs/>
          <w:sz w:val="22"/>
          <w:szCs w:val="22"/>
          <w:color w:val="1A1A1A"/>
        </w:rPr>
        <w:t xml:space="preserve">4.</w:t>
      </w:r>
      <w:r>
        <w:rPr>
          <w:rFonts w:ascii="Times New Roman" w:cs="Times New Roman" w:eastAsia="Times New Roman" w:hAnsi="Times New Roman"/>
          <w:sz w:val="22"/>
          <w:szCs w:val="22"/>
          <w:color w:val="1A1A1A"/>
        </w:rPr>
        <w:t xml:space="preserve"> Show the </w:t>
      </w:r>
      <w:r>
        <w:rPr>
          <w:rFonts w:ascii="Times New Roman" w:cs="Times New Roman" w:eastAsia="Times New Roman" w:hAnsi="Times New Roman"/>
          <w:b/>
          <w:bCs/>
          <w:sz w:val="22"/>
          <w:szCs w:val="22"/>
          <w:color w:val="1A1A1A"/>
        </w:rPr>
        <w:t xml:space="preserve">Accounts Receivable Aging</w:t>
      </w:r>
      <w:r>
        <w:rPr>
          <w:rFonts w:ascii="Times New Roman" w:cs="Times New Roman" w:eastAsia="Times New Roman" w:hAnsi="Times New Roman"/>
          <w:sz w:val="22"/>
          <w:szCs w:val="22"/>
          <w:color w:val="1A1A1A"/>
        </w:rPr>
        <w:t xml:space="preserve"> chart, then scroll to the </w:t>
      </w:r>
      <w:r>
        <w:rPr>
          <w:rFonts w:ascii="Times New Roman" w:cs="Times New Roman" w:eastAsia="Times New Roman" w:hAnsi="Times New Roman"/>
          <w:b/>
          <w:bCs/>
          <w:sz w:val="22"/>
          <w:szCs w:val="22"/>
          <w:color w:val="1A1A1A"/>
        </w:rPr>
        <w:t xml:space="preserve">A/R Aging Schedule</w:t>
      </w:r>
      <w:r>
        <w:rPr>
          <w:rFonts w:ascii="Times New Roman" w:cs="Times New Roman" w:eastAsia="Times New Roman" w:hAnsi="Times New Roman"/>
          <w:sz w:val="22"/>
          <w:szCs w:val="22"/>
          <w:color w:val="1A1A1A"/>
        </w:rPr>
        <w:t xml:space="preserve">, which ages each balance by the milestone currently owed and lists days overdue and aging bucket.</w:t>
      </w:r>
    </w:p>
    <w:p>
      <w:pPr>
        <w:spacing w:after="80"/>
        <w:ind w:left="480" w:hanging="360"/>
      </w:pPr>
      <w:r>
        <w:rPr>
          <w:rFonts w:ascii="Times New Roman" w:cs="Times New Roman" w:eastAsia="Times New Roman" w:hAnsi="Times New Roman"/>
          <w:b/>
          <w:bCs/>
          <w:sz w:val="22"/>
          <w:szCs w:val="22"/>
          <w:color w:val="1A1A1A"/>
        </w:rPr>
        <w:t xml:space="preserve">5.</w:t>
      </w:r>
      <w:r>
        <w:rPr>
          <w:rFonts w:ascii="Times New Roman" w:cs="Times New Roman" w:eastAsia="Times New Roman" w:hAnsi="Times New Roman"/>
          <w:sz w:val="22"/>
          <w:szCs w:val="22"/>
          <w:color w:val="1A1A1A"/>
        </w:rPr>
        <w:t xml:space="preserve"> Show the </w:t>
      </w:r>
      <w:r>
        <w:rPr>
          <w:rFonts w:ascii="Times New Roman" w:cs="Times New Roman" w:eastAsia="Times New Roman" w:hAnsi="Times New Roman"/>
          <w:b/>
          <w:bCs/>
          <w:sz w:val="22"/>
          <w:szCs w:val="22"/>
          <w:color w:val="1A1A1A"/>
        </w:rPr>
        <w:t xml:space="preserve">Financial Position Summary</w:t>
      </w:r>
      <w:r>
        <w:rPr>
          <w:rFonts w:ascii="Times New Roman" w:cs="Times New Roman" w:eastAsia="Times New Roman" w:hAnsi="Times New Roman"/>
          <w:sz w:val="22"/>
          <w:szCs w:val="22"/>
          <w:color w:val="1A1A1A"/>
        </w:rPr>
        <w:t xml:space="preserve">: collections, receivables, confirmed expenses, and open commitments.</w:t>
      </w:r>
    </w:p>
    <w:p>
      <w:pPr>
        <w:spacing w:after="80"/>
        <w:ind w:left="480" w:hanging="360"/>
      </w:pPr>
      <w:r>
        <w:rPr>
          <w:rFonts w:ascii="Times New Roman" w:cs="Times New Roman" w:eastAsia="Times New Roman" w:hAnsi="Times New Roman"/>
          <w:b/>
          <w:bCs/>
          <w:sz w:val="22"/>
          <w:szCs w:val="22"/>
          <w:color w:val="1A1A1A"/>
        </w:rPr>
        <w:t xml:space="preserve">6.</w:t>
      </w:r>
      <w:r>
        <w:rPr>
          <w:rFonts w:ascii="Times New Roman" w:cs="Times New Roman" w:eastAsia="Times New Roman" w:hAnsi="Times New Roman"/>
          <w:sz w:val="22"/>
          <w:szCs w:val="22"/>
          <w:color w:val="1A1A1A"/>
        </w:rPr>
        <w:t xml:space="preserve"> Show the </w:t>
      </w:r>
      <w:r>
        <w:rPr>
          <w:rFonts w:ascii="Times New Roman" w:cs="Times New Roman" w:eastAsia="Times New Roman" w:hAnsi="Times New Roman"/>
          <w:b/>
          <w:bCs/>
          <w:sz w:val="22"/>
          <w:szCs w:val="22"/>
          <w:color w:val="1A1A1A"/>
        </w:rPr>
        <w:t xml:space="preserve">Procurement Budget Register</w:t>
      </w:r>
      <w:r>
        <w:rPr>
          <w:rFonts w:ascii="Times New Roman" w:cs="Times New Roman" w:eastAsia="Times New Roman" w:hAnsi="Times New Roman"/>
          <w:sz w:val="22"/>
          <w:szCs w:val="22"/>
          <w:color w:val="1A1A1A"/>
        </w:rPr>
        <w:t xml:space="preserve">, which links directly back to Part 2.</w:t>
      </w:r>
    </w:p>
    <w:p>
      <w:pPr>
        <w:spacing w:after="80"/>
        <w:ind w:left="480" w:hanging="360"/>
      </w:pPr>
      <w:r>
        <w:rPr>
          <w:rFonts w:ascii="Times New Roman" w:cs="Times New Roman" w:eastAsia="Times New Roman" w:hAnsi="Times New Roman"/>
          <w:b/>
          <w:bCs/>
          <w:sz w:val="22"/>
          <w:szCs w:val="22"/>
          <w:color w:val="1A1A1A"/>
        </w:rPr>
        <w:t xml:space="preserve">7.</w:t>
      </w:r>
      <w:r>
        <w:rPr>
          <w:rFonts w:ascii="Times New Roman" w:cs="Times New Roman" w:eastAsia="Times New Roman" w:hAnsi="Times New Roman"/>
          <w:sz w:val="22"/>
          <w:szCs w:val="22"/>
          <w:color w:val="1A1A1A"/>
        </w:rPr>
        <w:t xml:space="preserve"> Demonstrate </w:t>
      </w:r>
      <w:r>
        <w:rPr>
          <w:rFonts w:ascii="Times New Roman" w:cs="Times New Roman" w:eastAsia="Times New Roman" w:hAnsi="Times New Roman"/>
          <w:b/>
          <w:bCs/>
          <w:sz w:val="22"/>
          <w:szCs w:val="22"/>
          <w:color w:val="1A1A1A"/>
        </w:rPr>
        <w:t xml:space="preserve">Export to Excel</w:t>
      </w:r>
      <w:r>
        <w:rPr>
          <w:rFonts w:ascii="Times New Roman" w:cs="Times New Roman" w:eastAsia="Times New Roman" w:hAnsi="Times New Roman"/>
          <w:sz w:val="22"/>
          <w:szCs w:val="22"/>
          <w:color w:val="1A1A1A"/>
        </w:rPr>
        <w:t xml:space="preserve"> (and Print) live.</w:t>
      </w:r>
    </w:p>
    <w:p>
      <w:pPr>
        <w:spacing w:after="80"/>
        <w:ind w:left="480" w:hanging="360"/>
      </w:pPr>
      <w:r>
        <w:rPr>
          <w:rFonts w:ascii="Times New Roman" w:cs="Times New Roman" w:eastAsia="Times New Roman" w:hAnsi="Times New Roman"/>
          <w:b/>
          <w:bCs/>
          <w:sz w:val="22"/>
          <w:szCs w:val="22"/>
          <w:color w:val="1A1A1A"/>
        </w:rPr>
        <w:t xml:space="preserve">8.</w:t>
      </w:r>
      <w:r>
        <w:rPr>
          <w:rFonts w:ascii="Times New Roman" w:cs="Times New Roman" w:eastAsia="Times New Roman" w:hAnsi="Times New Roman"/>
          <w:sz w:val="22"/>
          <w:szCs w:val="22"/>
          <w:color w:val="1A1A1A"/>
        </w:rPr>
        <w:t xml:space="preserve"> Refer the panel to </w:t>
      </w:r>
      <w:r>
        <w:rPr>
          <w:rFonts w:ascii="Times New Roman" w:cs="Times New Roman" w:eastAsia="Times New Roman" w:hAnsi="Times New Roman"/>
          <w:b/>
          <w:bCs/>
          <w:sz w:val="22"/>
          <w:szCs w:val="22"/>
          <w:color w:val="1A1A1A"/>
        </w:rPr>
        <w:t xml:space="preserve">Table 13.1</w:t>
      </w:r>
      <w:r>
        <w:rPr>
          <w:rFonts w:ascii="Times New Roman" w:cs="Times New Roman" w:eastAsia="Times New Roman" w:hAnsi="Times New Roman"/>
          <w:sz w:val="22"/>
          <w:szCs w:val="22"/>
          <w:color w:val="1A1A1A"/>
        </w:rPr>
        <w:t xml:space="preserve"> and note that Sales, Kitchen, Logistics, Banquet, Purchasing, and the inventory departments each receive their own report from the same engine, while Admin sees all of them.</w:t>
      </w:r>
    </w:p>
    <w:p>
      <w:pPr>
        <w:pStyle w:val="Heading2"/>
      </w:pPr>
      <w:r>
        <w:rPr>
          <w:rFonts w:ascii="Times New Roman" w:cs="Times New Roman" w:eastAsia="Times New Roman" w:hAnsi="Times New Roman"/>
          <w:b/>
          <w:bCs/>
          <w:color w:val="1A1A1A"/>
          <w:sz w:val="28"/>
          <w:szCs w:val="28"/>
        </w:rPr>
        <w:t xml:space="preserve">5.2 Point to Emphasise</w:t>
      </w:r>
    </w:p>
    <w:p>
      <w:pPr>
        <w:spacing w:after="140"/>
        <w:ind w:left="360"/>
      </w:pPr>
      <w:r>
        <w:rPr>
          <w:rFonts w:ascii="Times New Roman" w:cs="Times New Roman" w:eastAsia="Times New Roman" w:hAnsi="Times New Roman"/>
          <w:b/>
          <w:bCs/>
          <w:color w:val="5F5F5F"/>
          <w:sz w:val="21"/>
          <w:szCs w:val="21"/>
        </w:rPr>
        <w:t xml:space="preserve">Say: </w:t>
      </w:r>
      <w:r>
        <w:rPr>
          <w:rFonts w:ascii="Times New Roman" w:cs="Times New Roman" w:eastAsia="Times New Roman" w:hAnsi="Times New Roman"/>
          <w:i/>
          <w:iCs/>
          <w:color w:val="3A3A3A"/>
          <w:sz w:val="21"/>
          <w:szCs w:val="21"/>
        </w:rPr>
        <w:t xml:space="preserve">“One reporting engine, role-scoped output, exportable for management use.”</w:t>
      </w:r>
    </w:p>
    <w:p>
      <w:pPr>
        <w:pStyle w:val="Heading1"/>
        <w:pageBreakBefore/>
      </w:pPr>
      <w:r>
        <w:rPr>
          <w:rFonts w:ascii="Times New Roman" w:cs="Times New Roman" w:eastAsia="Times New Roman" w:hAnsi="Times New Roman"/>
          <w:b/>
          <w:bCs/>
          <w:color w:val="491321"/>
          <w:sz w:val="40"/>
          <w:szCs w:val="40"/>
        </w:rPr>
        <w:t xml:space="preserve">6. Part 4 — Closing Scenario</w:t>
      </w:r>
    </w:p>
    <w:p>
      <w:pPr>
        <w:spacing w:before="80" w:after="160"/>
        <w:ind w:left="120"/>
        <w:pBdr>
          <w:left w:val="single" w:sz="18" w:space="6" w:color="491321"/>
        </w:pBdr>
        <w:shd w:val="clear" w:fill="F7F1F4"/>
      </w:pPr>
      <w:r>
        <w:rPr>
          <w:rFonts w:ascii="Times New Roman" w:cs="Times New Roman" w:eastAsia="Times New Roman" w:hAnsi="Times New Roman"/>
          <w:b/>
          <w:bCs/>
          <w:color w:val="491321"/>
          <w:sz w:val="19"/>
          <w:szCs w:val="19"/>
        </w:rPr>
        <w:t xml:space="preserve">USER MANUAL: </w:t>
      </w:r>
      <w:r>
        <w:rPr>
          <w:rFonts w:ascii="Times New Roman" w:cs="Times New Roman" w:eastAsia="Times New Roman" w:hAnsi="Times New Roman"/>
          <w:color w:val="491321"/>
          <w:sz w:val="19"/>
          <w:szCs w:val="19"/>
        </w:rPr>
        <w:t xml:space="preserve">§4.6 Payment Holds · §4.9 Closing the Contract · §4.10 Accounting Scenarios · Figure 4.6.1 · Appendix A Table A.1</w:t>
      </w:r>
    </w:p>
    <w:p>
      <w:pPr>
        <w:spacing w:after="160"/>
      </w:pPr>
      <w:r>
        <w:rPr>
          <w:rFonts w:ascii="Times New Roman" w:cs="Times New Roman" w:eastAsia="Times New Roman" w:hAnsi="Times New Roman"/>
          <w:b/>
          <w:bCs/>
          <w:sz w:val="22"/>
          <w:szCs w:val="22"/>
          <w:color w:val="1A1A1A"/>
        </w:rPr>
        <w:t xml:space="preserve">Duration:</w:t>
      </w:r>
      <w:r>
        <w:rPr>
          <w:rFonts w:ascii="Times New Roman" w:cs="Times New Roman" w:eastAsia="Times New Roman" w:hAnsi="Times New Roman"/>
          <w:sz w:val="22"/>
          <w:szCs w:val="22"/>
          <w:color w:val="1A1A1A"/>
        </w:rPr>
        <w:t xml:space="preserve"> approximately 2 minutes. This part is narrated rather than heavily clicked. Select one of the two options below.</w:t>
      </w:r>
    </w:p>
    <w:p>
      <w:pPr>
        <w:pStyle w:val="Heading2"/>
      </w:pPr>
      <w:r>
        <w:rPr>
          <w:rFonts w:ascii="Times New Roman" w:cs="Times New Roman" w:eastAsia="Times New Roman" w:hAnsi="Times New Roman"/>
          <w:b/>
          <w:bCs/>
          <w:color w:val="1A1A1A"/>
          <w:sz w:val="28"/>
          <w:szCs w:val="28"/>
        </w:rPr>
        <w:t xml:space="preserve">6.1 Option A — A Budget Request Exceeds the Month’s Allocation</w:t>
      </w:r>
    </w:p>
    <w:p>
      <w:pPr>
        <w:spacing w:after="160"/>
      </w:pPr>
      <w:r>
        <w:rPr>
          <w:rFonts w:ascii="Times New Roman" w:cs="Times New Roman" w:eastAsia="Times New Roman" w:hAnsi="Times New Roman"/>
          <w:sz w:val="22"/>
          <w:szCs w:val="22"/>
          <w:color w:val="1A1A1A"/>
        </w:rPr>
        <w:t xml:space="preserve">Recommended, because it follows directly from Parts 1 and 2.</w:t>
      </w:r>
    </w:p>
    <w:p>
      <w:pPr>
        <w:spacing w:after="140"/>
        <w:ind w:left="360"/>
      </w:pPr>
      <w:r>
        <w:rPr>
          <w:rFonts w:ascii="Times New Roman" w:cs="Times New Roman" w:eastAsia="Times New Roman" w:hAnsi="Times New Roman"/>
          <w:b/>
          <w:bCs/>
          <w:color w:val="5F5F5F"/>
          <w:sz w:val="21"/>
          <w:szCs w:val="21"/>
        </w:rPr>
        <w:t xml:space="preserve">Say: </w:t>
      </w:r>
      <w:r>
        <w:rPr>
          <w:rFonts w:ascii="Times New Roman" w:cs="Times New Roman" w:eastAsia="Times New Roman" w:hAnsi="Times New Roman"/>
          <w:i/>
          <w:iCs/>
          <w:color w:val="3A3A3A"/>
          <w:sz w:val="21"/>
          <w:szCs w:val="21"/>
        </w:rPr>
        <w:t xml:space="preserve">“Approval is blocked and the shortfall is shown. Accounting either adjusts the monthly allocation or returns the request to Purchasing. The month’s budget holds.”</w:t>
      </w:r>
    </w:p>
    <w:p>
      <w:pPr>
        <w:pStyle w:val="Heading2"/>
      </w:pPr>
      <w:r>
        <w:rPr>
          <w:rFonts w:ascii="Times New Roman" w:cs="Times New Roman" w:eastAsia="Times New Roman" w:hAnsi="Times New Roman"/>
          <w:b/>
          <w:bCs/>
          <w:color w:val="1A1A1A"/>
          <w:sz w:val="28"/>
          <w:szCs w:val="28"/>
        </w:rPr>
        <w:t xml:space="preserve">6.2 Option B — A Payment Is Missed</w:t>
      </w:r>
    </w:p>
    <w:p>
      <w:pPr>
        <w:spacing w:after="160"/>
      </w:pPr>
      <w:r>
        <w:rPr>
          <w:rFonts w:ascii="Times New Roman" w:cs="Times New Roman" w:eastAsia="Times New Roman" w:hAnsi="Times New Roman"/>
          <w:sz w:val="22"/>
          <w:szCs w:val="22"/>
          <w:color w:val="1A1A1A"/>
        </w:rPr>
        <w:t xml:space="preserve">Use this if the panel asks about collections. The escalation runs without human intervention: a follow-up alert one month before the 40% due date, a milestone-due task, a thirty-day aging window, and finally an uncollectible classification. For the remaining 60%, a balance unpaid past its due date </w:t>
      </w:r>
      <w:r>
        <w:rPr>
          <w:rFonts w:ascii="Times New Roman" w:cs="Times New Roman" w:eastAsia="Times New Roman" w:hAnsi="Times New Roman"/>
          <w:b/>
          <w:bCs/>
          <w:sz w:val="22"/>
          <w:szCs w:val="22"/>
          <w:color w:val="1A1A1A"/>
        </w:rPr>
        <w:t xml:space="preserve">automatically places the contract on hold</w:t>
      </w:r>
      <w:r>
        <w:rPr>
          <w:rFonts w:ascii="Times New Roman" w:cs="Times New Roman" w:eastAsia="Times New Roman" w:hAnsi="Times New Roman"/>
          <w:sz w:val="22"/>
          <w:szCs w:val="22"/>
          <w:color w:val="1A1A1A"/>
        </w:rPr>
        <w:t xml:space="preserve">, which blocks preparation and execution until the balance is settled or management releases the hold.</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a contract on hold and show the </w:t>
      </w:r>
      <w:r>
        <w:rPr>
          <w:rFonts w:ascii="Times New Roman" w:cs="Times New Roman" w:eastAsia="Times New Roman" w:hAnsi="Times New Roman"/>
          <w:b/>
          <w:bCs/>
          <w:sz w:val="22"/>
          <w:szCs w:val="22"/>
          <w:color w:val="1A1A1A"/>
        </w:rPr>
        <w:t xml:space="preserve">Final Balance Overdue / On Hold</w:t>
      </w:r>
      <w:r>
        <w:rPr>
          <w:rFonts w:ascii="Times New Roman" w:cs="Times New Roman" w:eastAsia="Times New Roman" w:hAnsi="Times New Roman"/>
          <w:sz w:val="22"/>
          <w:szCs w:val="22"/>
          <w:color w:val="1A1A1A"/>
        </w:rPr>
        <w:t xml:space="preserve"> banner (Figure 4.6.1).</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Explain that once the balance is settled the hold lifts and the contract can proceed.</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Refer to </w:t>
      </w:r>
      <w:r>
        <w:rPr>
          <w:rFonts w:ascii="Times New Roman" w:cs="Times New Roman" w:eastAsia="Times New Roman" w:hAnsi="Times New Roman"/>
          <w:b/>
          <w:bCs/>
          <w:sz w:val="22"/>
          <w:szCs w:val="22"/>
          <w:color w:val="1A1A1A"/>
        </w:rPr>
        <w:t xml:space="preserve">Table A.1</w:t>
      </w:r>
      <w:r>
        <w:rPr>
          <w:rFonts w:ascii="Times New Roman" w:cs="Times New Roman" w:eastAsia="Times New Roman" w:hAnsi="Times New Roman"/>
          <w:sz w:val="22"/>
          <w:szCs w:val="22"/>
          <w:color w:val="1A1A1A"/>
        </w:rPr>
        <w:t xml:space="preserve">, noting that these timings are Juan Carlo’s own business rules, documented in Appendix H of the thesis and enforced by the system.</w:t>
      </w:r>
    </w:p>
    <w:p>
      <w:pPr>
        <w:pStyle w:val="Heading2"/>
      </w:pPr>
      <w:r>
        <w:rPr>
          <w:rFonts w:ascii="Times New Roman" w:cs="Times New Roman" w:eastAsia="Times New Roman" w:hAnsi="Times New Roman"/>
          <w:b/>
          <w:bCs/>
          <w:color w:val="1A1A1A"/>
          <w:sz w:val="28"/>
          <w:szCs w:val="28"/>
        </w:rPr>
        <w:t xml:space="preserve">6.3 Completing the Contract</w:t>
      </w:r>
    </w:p>
    <w:p>
      <w:pPr>
        <w:spacing w:after="160"/>
      </w:pPr>
      <w:r>
        <w:rPr>
          <w:rFonts w:ascii="Times New Roman" w:cs="Times New Roman" w:eastAsia="Times New Roman" w:hAnsi="Times New Roman"/>
          <w:sz w:val="22"/>
          <w:szCs w:val="22"/>
          <w:color w:val="1A1A1A"/>
        </w:rPr>
        <w:t xml:space="preserve">When the event has passed and every department has recorded its post-event checks, the contract stage changes to </w:t>
      </w:r>
      <w:r>
        <w:rPr>
          <w:rFonts w:ascii="Times New Roman" w:cs="Times New Roman" w:eastAsia="Times New Roman" w:hAnsi="Times New Roman"/>
          <w:b/>
          <w:bCs/>
          <w:sz w:val="22"/>
          <w:szCs w:val="22"/>
          <w:color w:val="1A1A1A"/>
        </w:rPr>
        <w:t xml:space="preserve">Awaiting Contract Close</w:t>
      </w:r>
      <w:r>
        <w:rPr>
          <w:rFonts w:ascii="Times New Roman" w:cs="Times New Roman" w:eastAsia="Times New Roman" w:hAnsi="Times New Roman"/>
          <w:sz w:val="22"/>
          <w:szCs w:val="22"/>
          <w:color w:val="1A1A1A"/>
        </w:rPr>
        <w:t xml:space="preserve"> and Accounting receives a </w:t>
      </w:r>
      <w:r>
        <w:rPr>
          <w:rFonts w:ascii="Times New Roman" w:cs="Times New Roman" w:eastAsia="Times New Roman" w:hAnsi="Times New Roman"/>
          <w:b/>
          <w:bCs/>
          <w:sz w:val="22"/>
          <w:szCs w:val="22"/>
          <w:color w:val="1A1A1A"/>
        </w:rPr>
        <w:t xml:space="preserve">Ready to close</w:t>
      </w:r>
      <w:r>
        <w:rPr>
          <w:rFonts w:ascii="Times New Roman" w:cs="Times New Roman" w:eastAsia="Times New Roman" w:hAnsi="Times New Roman"/>
          <w:sz w:val="22"/>
          <w:szCs w:val="22"/>
          <w:color w:val="1A1A1A"/>
        </w:rPr>
        <w:t xml:space="preserve"> notification. Closing requires the event date to have passed, the balance to be fully collected, the logistics booking to be completed, and no pending post-event checks (§4.9).</w:t>
      </w:r>
    </w:p>
    <w:p>
      <w:pPr>
        <w:pStyle w:val="Heading1"/>
        <w:pageBreakBefore/>
      </w:pPr>
      <w:r>
        <w:rPr>
          <w:rFonts w:ascii="Times New Roman" w:cs="Times New Roman" w:eastAsia="Times New Roman" w:hAnsi="Times New Roman"/>
          <w:b/>
          <w:bCs/>
          <w:color w:val="491321"/>
          <w:sz w:val="40"/>
          <w:szCs w:val="40"/>
        </w:rPr>
        <w:t xml:space="preserve">7. Revisions Demonstrated</w:t>
      </w:r>
    </w:p>
    <w:p>
      <w:pPr>
        <w:spacing w:after="160"/>
      </w:pPr>
      <w:r>
        <w:rPr>
          <w:rFonts w:ascii="Times New Roman" w:cs="Times New Roman" w:eastAsia="Times New Roman" w:hAnsi="Times New Roman"/>
          <w:sz w:val="22"/>
          <w:szCs w:val="22"/>
          <w:color w:val="1A1A1A"/>
        </w:rPr>
        <w:t xml:space="preserve">The revisions below are the ones visible during this demonstration. They are drawn from the two-week development cycle of 22 to 29 July 2026.</w:t>
      </w:r>
    </w:p>
    <w:p>
      <w:pPr>
        <w:pStyle w:val="Heading2"/>
      </w:pPr>
      <w:r>
        <w:rPr>
          <w:rFonts w:ascii="Times New Roman" w:cs="Times New Roman" w:eastAsia="Times New Roman" w:hAnsi="Times New Roman"/>
          <w:b/>
          <w:bCs/>
          <w:color w:val="1A1A1A"/>
          <w:sz w:val="28"/>
          <w:szCs w:val="28"/>
        </w:rPr>
        <w:t xml:space="preserve">7.1 Revisions Shown Directly</w:t>
      </w:r>
    </w:p>
    <w:p>
      <w:pPr>
        <w:spacing w:after="80" w:before="60"/>
      </w:pPr>
      <w:r>
        <w:rPr>
          <w:rFonts w:ascii="Times New Roman" w:cs="Times New Roman" w:eastAsia="Times New Roman" w:hAnsi="Times New Roman"/>
          <w:b/>
          <w:bCs/>
          <w:color w:val="491321"/>
          <w:sz w:val="20"/>
          <w:szCs w:val="20"/>
        </w:rPr>
        <w:t xml:space="preserve">Table 7.1 Revisions Demonstrated in Each Part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2500"/>
        <w:gridCol w:w="2300"/>
      </w:tblGrid>
      <w:tr>
        <w:trPr>
          <w:tblHeader/>
        </w:trPr>
        <w:tc>
          <w:tcPr>
            <w:tcW w:type="dxa" w:w="1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Part</w:t>
            </w:r>
          </w:p>
        </w:tc>
        <w:tc>
          <w:tcPr>
            <w:tcW w:type="dxa" w:w="36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Revision</w:t>
            </w:r>
          </w:p>
        </w:tc>
        <w:tc>
          <w:tcPr>
            <w:tcW w:type="dxa" w:w="25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What the Panel Sees</w:t>
            </w:r>
          </w:p>
        </w:tc>
        <w:tc>
          <w:tcPr>
            <w:tcW w:type="dxa" w:w="23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Manual</w:t>
            </w:r>
          </w:p>
        </w:tc>
      </w:tr>
      <w:tr>
        <w:tc>
          <w:tcPr>
            <w:tcW w:type="dxa" w:w="1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1</w:t>
            </w:r>
          </w:p>
        </w:tc>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Monthly operating budget with data-derived suggestion</w:t>
            </w:r>
          </w:p>
        </w:tc>
        <w:tc>
          <w:tcPr>
            <w:tcW w:type="dxa" w:w="25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Budget editor; amounts proposed from the trailing three-month average of confirmed spend</w:t>
            </w:r>
          </w:p>
        </w:tc>
        <w:tc>
          <w:tcPr>
            <w:tcW w:type="dxa" w:w="2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§4.8</w:t>
            </w:r>
          </w:p>
        </w:tc>
      </w:tr>
      <w:tr>
        <w:tc>
          <w:tcPr>
            <w:tcW w:type="dxa" w:w="1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2</w:t>
            </w:r>
          </w:p>
        </w:tc>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Budget check enforced at procurement approval</w:t>
            </w:r>
          </w:p>
        </w:tc>
        <w:tc>
          <w:tcPr>
            <w:tcW w:type="dxa" w:w="25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An over-budget request blocked with the shortfall shown</w:t>
            </w:r>
          </w:p>
        </w:tc>
        <w:tc>
          <w:tcPr>
            <w:tcW w:type="dxa" w:w="2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§4.7</w:t>
            </w:r>
          </w:p>
        </w:tc>
      </w:tr>
      <w:tr>
        <w:tc>
          <w:tcPr>
            <w:tcW w:type="dxa" w:w="1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2</w:t>
            </w:r>
          </w:p>
        </w:tc>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Sorting filters for the Accounting approval queue</w:t>
            </w:r>
          </w:p>
        </w:tc>
        <w:tc>
          <w:tcPr>
            <w:tcW w:type="dxa" w:w="25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Newest first, oldest first, by event date, by date needed</w:t>
            </w:r>
          </w:p>
        </w:tc>
        <w:tc>
          <w:tcPr>
            <w:tcW w:type="dxa" w:w="2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§4.7</w:t>
            </w:r>
          </w:p>
        </w:tc>
      </w:tr>
      <w:tr>
        <w:tc>
          <w:tcPr>
            <w:tcW w:type="dxa" w:w="1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3</w:t>
            </w:r>
          </w:p>
        </w:tc>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Expanded department reports</w:t>
            </w:r>
          </w:p>
        </w:tc>
        <w:tc>
          <w:tcPr>
            <w:tcW w:type="dxa" w:w="25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A/R aging, collections trend, financial position, procurement register, Excel export</w:t>
            </w:r>
          </w:p>
        </w:tc>
        <w:tc>
          <w:tcPr>
            <w:tcW w:type="dxa" w:w="2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§13.1 · Table 13.1</w:t>
            </w:r>
          </w:p>
        </w:tc>
      </w:tr>
      <w:tr>
        <w:tc>
          <w:tcPr>
            <w:tcW w:type="dxa" w:w="1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w:t>
            </w:r>
          </w:p>
        </w:tc>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Two-decimal monetary correction</w:t>
            </w:r>
          </w:p>
        </w:tc>
        <w:tc>
          <w:tcPr>
            <w:tcW w:type="dxa" w:w="25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Balances settle exactly, which makes final payment and contract closing possible</w:t>
            </w:r>
          </w:p>
        </w:tc>
        <w:tc>
          <w:tcPr>
            <w:tcW w:type="dxa" w:w="2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§4.4</w:t>
            </w:r>
          </w:p>
        </w:tc>
      </w:tr>
      <w:tr>
        <w:tc>
          <w:tcPr>
            <w:tcW w:type="dxa" w:w="1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w:t>
            </w:r>
          </w:p>
        </w:tc>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New “Awaiting Contract Close” stage</w:t>
            </w:r>
          </w:p>
        </w:tc>
        <w:tc>
          <w:tcPr>
            <w:tcW w:type="dxa" w:w="25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contract stage after post-event checks are complete</w:t>
            </w:r>
          </w:p>
        </w:tc>
        <w:tc>
          <w:tcPr>
            <w:tcW w:type="dxa" w:w="2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§4.9</w:t>
            </w:r>
          </w:p>
        </w:tc>
      </w:tr>
      <w:tr>
        <w:tc>
          <w:tcPr>
            <w:tcW w:type="dxa" w:w="1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w:t>
            </w:r>
          </w:p>
        </w:tc>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“Ready to close” notification for Accounting</w:t>
            </w:r>
          </w:p>
        </w:tc>
        <w:tc>
          <w:tcPr>
            <w:tcW w:type="dxa" w:w="25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Accounting is told when a contract may be closed</w:t>
            </w:r>
          </w:p>
        </w:tc>
        <w:tc>
          <w:tcPr>
            <w:tcW w:type="dxa" w:w="2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§4.2 · Table 4.2</w:t>
            </w:r>
          </w:p>
        </w:tc>
      </w:tr>
      <w:tr>
        <w:tc>
          <w:tcPr>
            <w:tcW w:type="dxa" w:w="1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w:t>
            </w:r>
          </w:p>
        </w:tc>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Automatic payment hold</w:t>
            </w:r>
          </w:p>
        </w:tc>
        <w:tc>
          <w:tcPr>
            <w:tcW w:type="dxa" w:w="25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An overdue final balance blocks preparation until settled or released</w:t>
            </w:r>
          </w:p>
        </w:tc>
        <w:tc>
          <w:tcPr>
            <w:tcW w:type="dxa" w:w="2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§4.6</w:t>
            </w:r>
          </w:p>
        </w:tc>
      </w:tr>
    </w:tbl>
    <w:p>
      <w:pPr>
        <w:spacing w:after="160"/>
      </w:pPr>
    </w:p>
    <w:p>
      <w:pPr>
        <w:pStyle w:val="Heading2"/>
      </w:pPr>
      <w:r>
        <w:rPr>
          <w:rFonts w:ascii="Times New Roman" w:cs="Times New Roman" w:eastAsia="Times New Roman" w:hAnsi="Times New Roman"/>
          <w:b/>
          <w:bCs/>
          <w:color w:val="1A1A1A"/>
          <w:sz w:val="28"/>
          <w:szCs w:val="28"/>
        </w:rPr>
        <w:t xml:space="preserve">7.2 Revisions Visible Throughout</w:t>
      </w:r>
    </w:p>
    <w:p>
      <w:pPr>
        <w:spacing w:after="160"/>
      </w:pPr>
      <w:r>
        <w:rPr>
          <w:rFonts w:ascii="Times New Roman" w:cs="Times New Roman" w:eastAsia="Times New Roman" w:hAnsi="Times New Roman"/>
          <w:sz w:val="22"/>
          <w:szCs w:val="22"/>
          <w:color w:val="1A1A1A"/>
        </w:rPr>
        <w:t xml:space="preserve">These require no additional navigation and may be pointed out at any time during the demonstration.</w:t>
      </w:r>
    </w:p>
    <w:p>
      <w:pPr>
        <w:spacing w:after="80" w:before="60"/>
      </w:pPr>
      <w:r>
        <w:rPr>
          <w:rFonts w:ascii="Times New Roman" w:cs="Times New Roman" w:eastAsia="Times New Roman" w:hAnsi="Times New Roman"/>
          <w:b/>
          <w:bCs/>
          <w:color w:val="491321"/>
          <w:sz w:val="20"/>
          <w:szCs w:val="20"/>
        </w:rPr>
        <w:t xml:space="preserve">Table 7.2 Revisions Visible Throughout the Demonstration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200"/>
      </w:tblGrid>
      <w:tr>
        <w:trPr>
          <w:tblHeader/>
        </w:trPr>
        <w:tc>
          <w:tcPr>
            <w:tcW w:type="dxa" w:w="36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Revision</w:t>
            </w:r>
          </w:p>
        </w:tc>
        <w:tc>
          <w:tcPr>
            <w:tcW w:type="dxa" w:w="36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What the Panel Sees</w:t>
            </w:r>
          </w:p>
        </w:tc>
        <w:tc>
          <w:tcPr>
            <w:tcW w:type="dxa" w:w="22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Manual</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Financial confidentiality</w:t>
            </w:r>
          </w:p>
        </w:tc>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Package price and total contract value appear only for Sales, Accounting, and Admin — on screen and in exported PDFs</w:t>
            </w:r>
          </w:p>
        </w:tc>
        <w:tc>
          <w:tcPr>
            <w:tcW w:type="dxa" w:w="22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Table 4.3 · Table A.2</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Contract statuses with colour and owner</w:t>
            </w:r>
          </w:p>
        </w:tc>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Each stage is colour coded and names the department that holds the contract</w:t>
            </w:r>
          </w:p>
        </w:tc>
        <w:tc>
          <w:tcPr>
            <w:tcW w:type="dxa" w:w="22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Chapters 2–4</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Completed-action “Done” tag</w:t>
            </w:r>
          </w:p>
        </w:tc>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 notification whose task is finished is tagged green Done rather than red High</w:t>
            </w:r>
          </w:p>
        </w:tc>
        <w:tc>
          <w:tcPr>
            <w:tcW w:type="dxa" w:w="22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§2.5 · Table 2.2</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Dismissible, stacking notifications</w:t>
            </w:r>
          </w:p>
        </w:tc>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Each notification can be dismissed; simultaneous pop-ups no longer cover one another</w:t>
            </w:r>
          </w:p>
        </w:tc>
        <w:tc>
          <w:tcPr>
            <w:tcW w:type="dxa" w:w="22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§2.5</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Notification housekeeping</w:t>
            </w:r>
          </w:p>
        </w:tc>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Notifications of deleted contracts are removed; those of closed contracts expire automatically</w:t>
            </w:r>
          </w:p>
        </w:tc>
        <w:tc>
          <w:tcPr>
            <w:tcW w:type="dxa" w:w="22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§2.5</w:t>
            </w:r>
          </w:p>
        </w:tc>
      </w:tr>
    </w:tbl>
    <w:p>
      <w:pPr>
        <w:spacing w:after="160"/>
      </w:pPr>
    </w:p>
    <w:p>
      <w:pPr>
        <w:pStyle w:val="Heading2"/>
      </w:pPr>
      <w:r>
        <w:rPr>
          <w:rFonts w:ascii="Times New Roman" w:cs="Times New Roman" w:eastAsia="Times New Roman" w:hAnsi="Times New Roman"/>
          <w:b/>
          <w:bCs/>
          <w:color w:val="1A1A1A"/>
          <w:sz w:val="28"/>
          <w:szCs w:val="28"/>
        </w:rPr>
        <w:t xml:space="preserve">7.3 Revisions Not Demonstrated but Available if Raised</w:t>
      </w:r>
    </w:p>
    <w:p>
      <w:pPr>
        <w:spacing w:after="160"/>
      </w:pPr>
      <w:r>
        <w:rPr>
          <w:rFonts w:ascii="Times New Roman" w:cs="Times New Roman" w:eastAsia="Times New Roman" w:hAnsi="Times New Roman"/>
          <w:sz w:val="22"/>
          <w:szCs w:val="22"/>
          <w:color w:val="1A1A1A"/>
        </w:rPr>
        <w:t xml:space="preserve">These belong to the departments outside the scope of this demonstration. Each has a documented scenario section in the manual, which may be referred to rather than improvised.</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Staff transportation</w:t>
      </w:r>
      <w:r>
        <w:rPr>
          <w:rFonts w:ascii="Times New Roman" w:cs="Times New Roman" w:eastAsia="Times New Roman" w:hAnsi="Times New Roman"/>
          <w:sz w:val="22"/>
          <w:szCs w:val="22"/>
          <w:color w:val="1A1A1A"/>
        </w:rPr>
        <w:t xml:space="preserve"> — a separate passenger-vehicle booking so personnel never travel in a cargo truck, sized by headcount and seat capacity, with a driver required for every vehicle (§10.4).</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The complete logistics round trip</w:t>
      </w:r>
      <w:r>
        <w:rPr>
          <w:rFonts w:ascii="Times New Roman" w:cs="Times New Roman" w:eastAsia="Times New Roman" w:hAnsi="Times New Roman"/>
          <w:sz w:val="22"/>
          <w:szCs w:val="22"/>
          <w:color w:val="1A1A1A"/>
        </w:rPr>
        <w:t xml:space="preserve"> — load manifest including kitchen items, department load readiness, driver pickup checklist, return checklist, and return reconciliation (§10.5–10.6).</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Kitchen preparation windows</w:t>
      </w:r>
      <w:r>
        <w:rPr>
          <w:rFonts w:ascii="Times New Roman" w:cs="Times New Roman" w:eastAsia="Times New Roman" w:hAnsi="Times New Roman"/>
          <w:sz w:val="22"/>
          <w:szCs w:val="22"/>
          <w:color w:val="1A1A1A"/>
        </w:rPr>
        <w:t xml:space="preserve"> — sourcing alert two weeks before the event and a preparation alert seven days before, with menu-tasting comments carried into the kitchen checklist (§8.2–8.5).</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Enforced business rules</w:t>
      </w:r>
      <w:r>
        <w:rPr>
          <w:rFonts w:ascii="Times New Roman" w:cs="Times New Roman" w:eastAsia="Times New Roman" w:hAnsi="Times New Roman"/>
          <w:sz w:val="22"/>
          <w:szCs w:val="22"/>
          <w:color w:val="1A1A1A"/>
        </w:rPr>
        <w:t xml:space="preserve"> — material freeze, banquet roster freeze, same-day conflict prevention, tasting-slot conflict, the one-waiter-per-twenty-five-guests ratio, and Metro Manila number coding (Tables 9.2, 10.2, A.1, A.2).</w:t>
      </w:r>
    </w:p>
    <w:p>
      <w:pPr>
        <w:pStyle w:val="Heading1"/>
        <w:pageBreakBefore/>
      </w:pPr>
      <w:r>
        <w:rPr>
          <w:rFonts w:ascii="Times New Roman" w:cs="Times New Roman" w:eastAsia="Times New Roman" w:hAnsi="Times New Roman"/>
          <w:b/>
          <w:bCs/>
          <w:color w:val="491321"/>
          <w:sz w:val="40"/>
          <w:szCs w:val="40"/>
        </w:rPr>
        <w:t xml:space="preserve">8. Anticipated Questions</w:t>
      </w:r>
    </w:p>
    <w:p>
      <w:pPr>
        <w:spacing w:after="80" w:before="60"/>
      </w:pPr>
      <w:r>
        <w:rPr>
          <w:rFonts w:ascii="Times New Roman" w:cs="Times New Roman" w:eastAsia="Times New Roman" w:hAnsi="Times New Roman"/>
          <w:b/>
          <w:bCs/>
          <w:color w:val="491321"/>
          <w:sz w:val="20"/>
          <w:szCs w:val="20"/>
        </w:rPr>
        <w:t xml:space="preserve">Table 8.1 Anticipated Questions and Where to Answer From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800"/>
      </w:tblGrid>
      <w:tr>
        <w:trPr>
          <w:tblHeader/>
        </w:trPr>
        <w:tc>
          <w:tcPr>
            <w:tcW w:type="dxa" w:w="38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Question</w:t>
            </w:r>
          </w:p>
        </w:tc>
        <w:tc>
          <w:tcPr>
            <w:tcW w:type="dxa" w:w="38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Answer</w:t>
            </w:r>
          </w:p>
        </w:tc>
        <w:tc>
          <w:tcPr>
            <w:tcW w:type="dxa" w:w="18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Reference</w:t>
            </w:r>
          </w:p>
        </w:tc>
      </w:tr>
      <w:tr>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Is the budget monthly, annual, or semi-annual?</w:t>
            </w:r>
          </w:p>
        </w:tc>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Currently monthly — Accounting sets it each month. The period was not specified in the requirements, so monthly was implemented; it is an open item for confirmation with the client.</w:t>
            </w:r>
          </w:p>
        </w:tc>
        <w:tc>
          <w:tcPr>
            <w:tcW w:type="dxa" w:w="1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§4.8</w:t>
            </w:r>
          </w:p>
        </w:tc>
      </w:tr>
      <w:tr>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Where does the suggested amount come from?</w:t>
            </w:r>
          </w:p>
        </w:tc>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trailing three-month average of confirmed procurement spend for Creative, Linen, and Stockroom; the standard template for the remaining categories.</w:t>
            </w:r>
          </w:p>
        </w:tc>
        <w:tc>
          <w:tcPr>
            <w:tcW w:type="dxa" w:w="1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§4.8</w:t>
            </w:r>
          </w:p>
        </w:tc>
      </w:tr>
      <w:tr>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What prevents overspending?</w:t>
            </w:r>
          </w:p>
        </w:tc>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budget check performed at the moment of approval, demonstrated in Part 2.</w:t>
            </w:r>
          </w:p>
        </w:tc>
        <w:tc>
          <w:tcPr>
            <w:tcW w:type="dxa" w:w="1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§4.7</w:t>
            </w:r>
          </w:p>
        </w:tc>
      </w:tr>
      <w:tr>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Are these your rules or the client’s?</w:t>
            </w:r>
          </w:p>
        </w:tc>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client’s documented business rules, recorded in Appendix H of the thesis and summarised in the manual.</w:t>
            </w:r>
          </w:p>
        </w:tc>
        <w:tc>
          <w:tcPr>
            <w:tcW w:type="dxa" w:w="1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Table 4.3 · Table A.1</w:t>
            </w:r>
          </w:p>
        </w:tc>
      </w:tr>
      <w:tr>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Can other departments see contract values?</w:t>
            </w:r>
          </w:p>
        </w:tc>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No. Package price and total contract value are restricted to Sales, Accounting, and Admin, both on screen and in exported documents.</w:t>
            </w:r>
          </w:p>
        </w:tc>
        <w:tc>
          <w:tcPr>
            <w:tcW w:type="dxa" w:w="1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Table A.2</w:t>
            </w:r>
          </w:p>
        </w:tc>
      </w:tr>
      <w:tr>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Can reports be used outside the system?</w:t>
            </w:r>
          </w:p>
        </w:tc>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Yes. Every report can be printed and exported to Excel, as demonstrated in Part 3.</w:t>
            </w:r>
          </w:p>
        </w:tc>
        <w:tc>
          <w:tcPr>
            <w:tcW w:type="dxa" w:w="1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§13.1</w:t>
            </w:r>
          </w:p>
        </w:tc>
      </w:tr>
      <w:tr>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What happens if a client cancels?</w:t>
            </w:r>
          </w:p>
        </w:tc>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system records the cancellation together with the reason from the formal cancellation letter. The refund percentage and any conversion of the event remain management decisions requiring executive review; the reservation fee is non-refundable by policy.</w:t>
            </w:r>
          </w:p>
        </w:tc>
        <w:tc>
          <w:tcPr>
            <w:tcW w:type="dxa" w:w="1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Table 4.3</w:t>
            </w:r>
          </w:p>
        </w:tc>
      </w:tr>
      <w:tr>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Is the system deployed?</w:t>
            </w:r>
          </w:p>
        </w:tc>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Not yet. Deployment follows a successful defense.</w:t>
            </w:r>
          </w:p>
        </w:tc>
        <w:tc>
          <w:tcPr>
            <w:tcW w:type="dxa" w:w="1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w:t>
            </w:r>
          </w:p>
        </w:tc>
      </w:tr>
    </w:tbl>
    <w:p>
      <w:pPr>
        <w:spacing w:after="160"/>
      </w:pPr>
    </w:p>
    <w:p>
      <w:pPr>
        <w:pStyle w:val="Heading1"/>
        <w:pageBreakBefore/>
      </w:pPr>
      <w:r>
        <w:rPr>
          <w:rFonts w:ascii="Times New Roman" w:cs="Times New Roman" w:eastAsia="Times New Roman" w:hAnsi="Times New Roman"/>
          <w:b/>
          <w:bCs/>
          <w:color w:val="491321"/>
          <w:sz w:val="40"/>
          <w:szCs w:val="40"/>
        </w:rPr>
        <w:t xml:space="preserve">9. Timing</w:t>
      </w:r>
    </w:p>
    <w:p>
      <w:pPr>
        <w:spacing w:after="80" w:before="60"/>
      </w:pPr>
      <w:r>
        <w:rPr>
          <w:rFonts w:ascii="Times New Roman" w:cs="Times New Roman" w:eastAsia="Times New Roman" w:hAnsi="Times New Roman"/>
          <w:b/>
          <w:bCs/>
          <w:color w:val="491321"/>
          <w:sz w:val="20"/>
          <w:szCs w:val="20"/>
        </w:rPr>
        <w:t xml:space="preserve">Table 9.1 Indicative Timing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2400"/>
        <w:gridCol w:w="2300"/>
      </w:tblGrid>
      <w:tr>
        <w:trPr>
          <w:tblHeader/>
        </w:trPr>
        <w:tc>
          <w:tcPr>
            <w:tcW w:type="dxa" w:w="47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Segment</w:t>
            </w:r>
          </w:p>
        </w:tc>
        <w:tc>
          <w:tcPr>
            <w:tcW w:type="dxa" w:w="2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Duration</w:t>
            </w:r>
          </w:p>
        </w:tc>
        <w:tc>
          <w:tcPr>
            <w:tcW w:type="dxa" w:w="23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Manual</w:t>
            </w:r>
          </w:p>
        </w:tc>
      </w:tr>
      <w:tr>
        <w:tc>
          <w:tcPr>
            <w:tcW w:type="dxa" w:w="4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Opening statement</w:t>
            </w:r>
          </w:p>
        </w:tc>
        <w:tc>
          <w:tcPr>
            <w:tcW w:type="dxa" w:w="2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30 seconds</w:t>
            </w:r>
          </w:p>
        </w:tc>
        <w:tc>
          <w:tcPr>
            <w:tcW w:type="dxa" w:w="2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§1.3 of this outline</w:t>
            </w:r>
          </w:p>
        </w:tc>
      </w:tr>
      <w:tr>
        <w:tc>
          <w:tcPr>
            <w:tcW w:type="dxa" w:w="4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Part 1 — Monthly operating budget</w:t>
            </w:r>
          </w:p>
        </w:tc>
        <w:tc>
          <w:tcPr>
            <w:tcW w:type="dxa" w:w="2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2 minutes</w:t>
            </w:r>
          </w:p>
        </w:tc>
        <w:tc>
          <w:tcPr>
            <w:tcW w:type="dxa" w:w="2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§4.8</w:t>
            </w:r>
          </w:p>
        </w:tc>
      </w:tr>
      <w:tr>
        <w:tc>
          <w:tcPr>
            <w:tcW w:type="dxa" w:w="4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Part 2 — Budget as a control</w:t>
            </w:r>
          </w:p>
        </w:tc>
        <w:tc>
          <w:tcPr>
            <w:tcW w:type="dxa" w:w="2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3 minutes</w:t>
            </w:r>
          </w:p>
        </w:tc>
        <w:tc>
          <w:tcPr>
            <w:tcW w:type="dxa" w:w="2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§4.7</w:t>
            </w:r>
          </w:p>
        </w:tc>
      </w:tr>
      <w:tr>
        <w:tc>
          <w:tcPr>
            <w:tcW w:type="dxa" w:w="4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Part 3 — Reports module</w:t>
            </w:r>
          </w:p>
        </w:tc>
        <w:tc>
          <w:tcPr>
            <w:tcW w:type="dxa" w:w="2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 minutes</w:t>
            </w:r>
          </w:p>
        </w:tc>
        <w:tc>
          <w:tcPr>
            <w:tcW w:type="dxa" w:w="2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§13.1</w:t>
            </w:r>
          </w:p>
        </w:tc>
      </w:tr>
      <w:tr>
        <w:tc>
          <w:tcPr>
            <w:tcW w:type="dxa" w:w="4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Part 4 — Closing scenario</w:t>
            </w:r>
          </w:p>
        </w:tc>
        <w:tc>
          <w:tcPr>
            <w:tcW w:type="dxa" w:w="2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2 minutes</w:t>
            </w:r>
          </w:p>
        </w:tc>
        <w:tc>
          <w:tcPr>
            <w:tcW w:type="dxa" w:w="2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§4.6 · §4.9 · §4.10</w:t>
            </w:r>
          </w:p>
        </w:tc>
      </w:tr>
      <w:tr>
        <w:tc>
          <w:tcPr>
            <w:tcW w:type="dxa" w:w="4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Questions</w:t>
            </w:r>
          </w:p>
        </w:tc>
        <w:tc>
          <w:tcPr>
            <w:tcW w:type="dxa" w:w="2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Remaining time</w:t>
            </w:r>
          </w:p>
        </w:tc>
        <w:tc>
          <w:tcPr>
            <w:tcW w:type="dxa" w:w="2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Table 8.1</w:t>
            </w:r>
          </w:p>
        </w:tc>
      </w:tr>
      <w:tr>
        <w:tc>
          <w:tcPr>
            <w:tcW w:type="dxa" w:w="4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Total demonstration</w:t>
            </w:r>
          </w:p>
        </w:tc>
        <w:tc>
          <w:tcPr>
            <w:tcW w:type="dxa" w:w="2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Approximately 12 minutes</w:t>
            </w:r>
          </w:p>
        </w:tc>
        <w:tc>
          <w:tcPr>
            <w:tcW w:type="dxa" w:w="2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w:t>
            </w:r>
          </w:p>
        </w:tc>
      </w:tr>
    </w:tbl>
    <w:p>
      <w:pPr>
        <w:spacing w:after="160"/>
      </w:pPr>
    </w:p>
    <w:p>
      <w:pPr>
        <w:spacing w:before="80" w:after="160"/>
        <w:ind w:left="120"/>
        <w:pBdr>
          <w:top w:val="single" w:sz="4" w:color="B08699"/>
          <w:left w:val="single" w:sz="4" w:color="B08699"/>
          <w:bottom w:val="single" w:sz="4" w:color="B08699"/>
          <w:right w:val="single" w:sz="4" w:color="B08699"/>
        </w:pBdr>
        <w:shd w:val="clear" w:fill="FBF6F8"/>
      </w:pPr>
      <w:r>
        <w:rPr>
          <w:rFonts w:ascii="Times New Roman" w:cs="Times New Roman" w:eastAsia="Times New Roman" w:hAnsi="Times New Roman"/>
          <w:b/>
          <w:bCs/>
          <w:color w:val="7A2E4A"/>
          <w:sz w:val="20"/>
          <w:szCs w:val="20"/>
        </w:rPr>
        <w:t xml:space="preserve">Reminder: </w:t>
      </w:r>
      <w:r>
        <w:rPr>
          <w:rFonts w:ascii="Times New Roman" w:cs="Times New Roman" w:eastAsia="Times New Roman" w:hAnsi="Times New Roman"/>
          <w:color w:val="1A1A1A"/>
          <w:sz w:val="20"/>
          <w:szCs w:val="20"/>
        </w:rPr>
        <w:t xml:space="preserve">restore the Creative Inventory allocation to ₱50,000 after the demonstration.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8"/>
        <w:szCs w:val="18"/>
      </w:rPr>
      <w:t xml:space="preserve">Page </w:t>
    </w: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99999"/>
        <w:sz w:val="16"/>
        <w:szCs w:val="16"/>
      </w:rPr>
      <w:t xml:space="preserve">Juan Carlo – Demonstration Outline: Accounting (Budgeting) and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0" w:after="240"/>
      <w:pBdr>
        <w:bottom w:val="single" w:sz="8" w:space="6" w:color="491321"/>
      </w:pBdr>
      <w:outlineLvl w:val="0"/>
    </w:pPr>
    <w:rPr>
      <w:rFonts w:ascii="Times New Roman" w:cs="Times New Roman" w:eastAsia="Times New Roman" w:hAnsi="Times New Roman"/>
      <w:b/>
      <w:bCs/>
      <w:color w:val="491321"/>
      <w:sz w:val="36"/>
      <w:szCs w:val="36"/>
    </w:rPr>
  </w:style>
  <w:style w:type="paragraph" w:styleId="Heading2">
    <w:name w:val="Heading 2"/>
    <w:basedOn w:val="Normal"/>
    <w:next w:val="Normal"/>
    <w:qFormat/>
    <w:pPr>
      <w:keepNext/>
      <w:spacing w:before="260" w:after="120"/>
      <w:outlineLvl w:val="1"/>
    </w:pPr>
    <w:rPr>
      <w:rFonts w:ascii="Times New Roman" w:cs="Times New Roman" w:eastAsia="Times New Roman" w:hAnsi="Times New Roman"/>
      <w:b/>
      <w:bCs/>
      <w:color w:val="1A1A1A"/>
      <w:sz w:val="26"/>
      <w:szCs w:val="26"/>
    </w:rPr>
  </w:style>
  <w:style w:type="paragraph" w:styleId="Heading3">
    <w:name w:val="Heading 3"/>
    <w:basedOn w:val="Normal"/>
    <w:next w:val="Normal"/>
    <w:qFormat/>
    <w:pPr>
      <w:keepNext/>
      <w:spacing w:before="200" w:after="100"/>
      <w:outlineLvl w:val="2"/>
    </w:pPr>
    <w:rPr>
      <w:rFonts w:ascii="Times New Roman" w:cs="Times New Roman" w:eastAsia="Times New Roman" w:hAnsi="Times New Roman"/>
      <w:b/>
      <w:bCs/>
      <w:i/>
      <w:iCs/>
      <w:color w:val="7A2E4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Management and Operations Monitoring System – User Manual</dc:title>
  <dc:creator>Juan Carlo Catering Services</dc:creator>
  <cp:lastModifiedBy>Un-named</cp:lastModifiedBy>
  <cp:revision>1</cp:revision>
  <dcterms:created xsi:type="dcterms:W3CDTF">2026-07-13T01:12:18.417Z</dcterms:created>
  <dcterms:modified xsi:type="dcterms:W3CDTF">2026-07-13T01:12:18.423Z</dcterms:modified>
</cp:coreProperties>
</file>

<file path=docProps/custom.xml><?xml version="1.0" encoding="utf-8"?>
<Properties xmlns="http://schemas.openxmlformats.org/officeDocument/2006/custom-properties" xmlns:vt="http://schemas.openxmlformats.org/officeDocument/2006/docPropsVTypes"/>
</file>