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ta"/>
        <w:spacing w:before="700" w:after="200"/>
      </w:pPr>
      <w:r>
        <w:t>NEURO UMBRELLA  /  NEUROKİNEMATİCS</w:t>
      </w:r>
    </w:p>
    <w:p>
      <w:pPr>
        <w:pStyle w:val="Title"/>
      </w:pPr>
      <w:r>
        <w:rPr>
          <w:color w:val="000000"/>
        </w:rPr>
        <w:t>NeuroKinematics Model Kullanım Planı</w:t>
      </w:r>
    </w:p>
    <w:p>
      <w:pPr>
        <w:pStyle w:val="Subtitle"/>
        <w:spacing w:after="360"/>
      </w:pPr>
      <w:r>
        <w:t>Roadmap r3 görevleri için GPT 6.1 Sol ve GPT 6 Astra kullanım önerileri</w:t>
      </w:r>
    </w:p>
    <w:p>
      <w:r>
        <w:t>Ana karar</w:t>
      </w:r>
    </w:p>
    <w:p>
      <w:r>
        <w:t>GPT 6.1 Sol günlük geliştirme ve uygulama modelidir. GPT 6 Astra matematiksel doğruluk, deney tasarımı, karmaşık hata analizi ve faz kabul kararlarında kullanılır.</w:t>
      </w:r>
    </w:p>
    <w:p>
      <w:pPr>
        <w:pStyle w:val="Heading1"/>
      </w:pPr>
      <w:r>
        <w:rPr>
          <w:color w:val="000000"/>
        </w:rPr>
        <w:t>Belgenin amacı</w:t>
      </w:r>
    </w:p>
    <w:p>
      <w:r>
        <w:t>Bu plan, roadmap r3 kapsamında günlük uygulama ve kritik inceleme işlerinin hangi Codex modeliyle yürütülebileceğini açıklar. Foundations ve Core araştırma kapanışları ile C1-06S geometrik IK kabulü tamamlandı. Sıradaki uygulama H2-01; yeni neural eğitim H2-N1 ve H2-N2 görevlerinde planlıdır. Buradaki Sol ve Astra, geliştirmede yardımcı olan OpenAI modelleridir; robotun IK neural modeli H2-N2 ile üretilecek ayrı bileşendir. Model önerisi test veya kabul koşullarını değiştirmez.</w:t>
      </w:r>
    </w:p>
    <w:p>
      <w:pPr>
        <w:pStyle w:val="Heading2"/>
        <w:keepNext/>
      </w:pPr>
      <w:r>
        <w:rPr>
          <w:color w:val="000000"/>
        </w:rPr>
        <w:t>Model rolleri</w:t>
      </w:r>
    </w:p>
    <w:tbl>
      <w:tblPr>
        <w:tblStyle w:val="TableGrid"/>
        <w:tblW w:type="auto" w:w="0"/>
        <w:jc w:val="center"/>
        <w:tblLayout w:type="fixed"/>
        <w:tblLook w:firstColumn="1" w:firstRow="1" w:lastColumn="0" w:lastRow="0" w:noHBand="0" w:noVBand="1" w:val="04A0"/>
      </w:tblPr>
      <w:tblGrid>
        <w:gridCol w:w="1701"/>
        <w:gridCol w:w="4535"/>
        <w:gridCol w:w="2948"/>
      </w:tblGrid>
      <w:tr>
        <w:trPr>
          <w:cantSplit/>
          <w:tblHeader/>
        </w:trPr>
        <w:tc>
          <w:tcPr>
            <w:tcW w:type="dxa" w:w="1701"/>
            <w:tcMar>
              <w:top w:w="90" w:type="dxa"/>
              <w:start w:w="110" w:type="dxa"/>
              <w:bottom w:w="90" w:type="dxa"/>
              <w:end w:w="110" w:type="dxa"/>
            </w:tcMar>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line="240" w:lineRule="auto" w:after="80" w:before="80"/>
            </w:pPr>
            <w:r>
              <w:rPr>
                <w:rFonts w:ascii="Aptos" w:hAnsi="Aptos"/>
                <w:b/>
                <w:color w:val="FFFFFF"/>
                <w:sz w:val="18"/>
              </w:rPr>
              <w:t>Seçim</w:t>
            </w:r>
          </w:p>
        </w:tc>
        <w:tc>
          <w:tcPr>
            <w:tcW w:type="dxa" w:w="4535"/>
            <w:tcMar>
              <w:top w:w="90" w:type="dxa"/>
              <w:start w:w="110" w:type="dxa"/>
              <w:bottom w:w="90" w:type="dxa"/>
              <w:end w:w="110" w:type="dxa"/>
            </w:tcMar>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line="240" w:lineRule="auto" w:after="80" w:before="80"/>
            </w:pPr>
            <w:r>
              <w:rPr>
                <w:rFonts w:ascii="Aptos" w:hAnsi="Aptos"/>
                <w:b/>
                <w:color w:val="FFFFFF"/>
                <w:sz w:val="18"/>
              </w:rPr>
              <w:t>Uygun işler</w:t>
            </w:r>
          </w:p>
        </w:tc>
        <w:tc>
          <w:tcPr>
            <w:tcW w:type="dxa" w:w="2948"/>
            <w:tcMar>
              <w:top w:w="90" w:type="dxa"/>
              <w:start w:w="110" w:type="dxa"/>
              <w:bottom w:w="90" w:type="dxa"/>
              <w:end w:w="110" w:type="dxa"/>
            </w:tcMar>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line="240" w:lineRule="auto" w:after="80" w:before="80"/>
            </w:pPr>
            <w:r>
              <w:rPr>
                <w:rFonts w:ascii="Aptos" w:hAnsi="Aptos"/>
                <w:b/>
                <w:color w:val="FFFFFF"/>
                <w:sz w:val="18"/>
              </w:rPr>
              <w:t>Önerilen düşünme düzeyi</w:t>
            </w:r>
          </w:p>
        </w:tc>
      </w:tr>
      <w:tr>
        <w:trPr>
          <w:cantSplit/>
          <w:cantSplit/>
        </w:trPr>
        <w:tc>
          <w:tcPr>
            <w:tcW w:type="dxa" w:w="1701"/>
            <w:tcMar>
              <w:top w:w="90" w:type="dxa"/>
              <w:start w:w="110" w:type="dxa"/>
              <w:bottom w:w="90" w:type="dxa"/>
              <w:end w:w="110" w:type="dxa"/>
            </w:tcMa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line="240" w:lineRule="auto" w:before="80"/>
            </w:pPr>
            <w:r>
              <w:rPr>
                <w:rFonts w:ascii="Aptos" w:hAnsi="Aptos"/>
                <w:b/>
                <w:color w:val="000000"/>
                <w:sz w:val="18"/>
              </w:rPr>
              <w:t>GPT 6.1 Sol</w:t>
            </w:r>
          </w:p>
        </w:tc>
        <w:tc>
          <w:tcPr>
            <w:tcW w:type="dxa" w:w="4535"/>
            <w:tcMar>
              <w:top w:w="90" w:type="dxa"/>
              <w:start w:w="110" w:type="dxa"/>
              <w:bottom w:w="90" w:type="dxa"/>
              <w:end w:w="110" w:type="dxa"/>
            </w:tcMa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line="240" w:lineRule="auto" w:before="80"/>
            </w:pPr>
            <w:r>
              <w:rPr>
                <w:rFonts w:ascii="Aptos" w:hAnsi="Aptos"/>
                <w:b w:val="0"/>
                <w:color w:val="000000"/>
                <w:sz w:val="18"/>
              </w:rPr>
              <w:t>Doküman, yapılandırma, adaptör, standart kodlama, test çalıştırma, paketleme ve sonuç derleme</w:t>
            </w:r>
          </w:p>
        </w:tc>
        <w:tc>
          <w:tcPr>
            <w:tcW w:type="dxa" w:w="2948"/>
            <w:tcMar>
              <w:top w:w="90" w:type="dxa"/>
              <w:start w:w="110" w:type="dxa"/>
              <w:bottom w:w="90" w:type="dxa"/>
              <w:end w:w="110" w:type="dxa"/>
            </w:tcMar>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line="240" w:lineRule="auto" w:before="80"/>
            </w:pPr>
            <w:r>
              <w:rPr>
                <w:rFonts w:ascii="Aptos" w:hAnsi="Aptos"/>
                <w:b w:val="0"/>
                <w:color w:val="000000"/>
                <w:sz w:val="18"/>
              </w:rPr>
              <w:t>Low: rutin belge ve yapılandırma</w:t>
              <w:br/>
              <w:t>Medium: kodlama ve test</w:t>
              <w:br/>
              <w:t>High: entegrasyon hata ayıklama</w:t>
            </w:r>
          </w:p>
        </w:tc>
      </w:tr>
      <w:tr>
        <w:trPr>
          <w:cantSplit/>
          <w:cantSplit/>
        </w:trPr>
        <w:tc>
          <w:tcPr>
            <w:tcW w:type="dxa" w:w="1701"/>
            <w:tcMar>
              <w:top w:w="90" w:type="dxa"/>
              <w:start w:w="110" w:type="dxa"/>
              <w:bottom w:w="90" w:type="dxa"/>
              <w:end w:w="110" w:type="dxa"/>
            </w:tcMar>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line="240" w:lineRule="auto" w:before="80"/>
            </w:pPr>
            <w:r>
              <w:rPr>
                <w:rFonts w:ascii="Aptos" w:hAnsi="Aptos"/>
                <w:b/>
                <w:color w:val="000000"/>
                <w:sz w:val="18"/>
              </w:rPr>
              <w:t>GPT 6 Astra</w:t>
            </w:r>
          </w:p>
        </w:tc>
        <w:tc>
          <w:tcPr>
            <w:tcW w:type="dxa" w:w="4535"/>
            <w:tcMar>
              <w:top w:w="90" w:type="dxa"/>
              <w:start w:w="110" w:type="dxa"/>
              <w:bottom w:w="90" w:type="dxa"/>
              <w:end w:w="110" w:type="dxa"/>
            </w:tcMar>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line="240" w:lineRule="auto" w:before="80"/>
            </w:pPr>
            <w:r>
              <w:rPr>
                <w:rFonts w:ascii="Aptos" w:hAnsi="Aptos"/>
                <w:b w:val="0"/>
                <w:color w:val="000000"/>
                <w:sz w:val="18"/>
              </w:rPr>
              <w:t>Kinematik matematiği, Jacobian, autograd, bilimsel deney tasarımı, karmaşık servis mantığı ve faz geçiş incelemesi</w:t>
            </w:r>
          </w:p>
        </w:tc>
        <w:tc>
          <w:tcPr>
            <w:tcW w:type="dxa" w:w="2948"/>
            <w:tcMar>
              <w:top w:w="90" w:type="dxa"/>
              <w:start w:w="110" w:type="dxa"/>
              <w:bottom w:w="90" w:type="dxa"/>
              <w:end w:w="110" w:type="dxa"/>
            </w:tcMar>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line="240" w:lineRule="auto" w:before="80"/>
            </w:pPr>
            <w:r>
              <w:rPr>
                <w:rFonts w:ascii="Aptos" w:hAnsi="Aptos"/>
                <w:b w:val="0"/>
                <w:color w:val="000000"/>
                <w:sz w:val="18"/>
              </w:rPr>
              <w:t>Medium: kapı incelemesi</w:t>
              <w:br/>
              <w:t>High: matematik ve deney</w:t>
              <w:br/>
              <w:t>Max: yalnız çözülemeyen kritik sorun</w:t>
            </w:r>
          </w:p>
        </w:tc>
      </w:tr>
    </w:tbl>
    <w:p>
      <w:pPr>
        <w:pStyle w:val="Meta"/>
        <w:spacing w:before="160"/>
      </w:pPr>
      <w:r>
        <w:rPr>
          <w:b/>
        </w:rPr>
        <w:t xml:space="preserve">Not: </w:t>
      </w:r>
      <w:r>
        <w:t>Daha düşük fiyat, her görevde daha az token kullanımı anlamına gelmez. Toplam verim; doğru model seçimi, tekrar sayısı ve bağlamın sınırlandırılmasıyla oluşur.</w:t>
      </w:r>
    </w:p>
    <w:p>
      <w:r/>
    </w:p>
    <w:p>
      <w:pPr>
        <w:pStyle w:val="Heading1"/>
      </w:pPr>
      <w:r>
        <w:rPr>
          <w:color w:val="000000"/>
        </w:rPr>
        <w:t>Foundations Model Dağılımı</w:t>
      </w:r>
    </w:p>
    <w:p>
      <w:pPr>
        <w:keepNext/>
      </w:pPr>
      <w:r>
        <w:t>Hedef: FK ve Jacobian doğruluğunu, veri üretimini ve sayısal baselineı güvenilir hale getirerek G0 kabul kapısını kanıtlarla değerlendirmek.</w:t>
      </w:r>
    </w:p>
    <w:tbl>
      <w:tblPr>
        <w:tblStyle w:val="TableGrid"/>
        <w:tblW w:type="auto" w:w="0"/>
        <w:jc w:val="center"/>
        <w:tblLayout w:type="fixed"/>
        <w:tblLook w:firstColumn="1" w:firstRow="1" w:lastColumn="0" w:lastRow="0" w:noHBand="0" w:noVBand="1" w:val="04A0"/>
      </w:tblPr>
      <w:tblGrid>
        <w:gridCol w:w="2665"/>
        <w:gridCol w:w="1984"/>
        <w:gridCol w:w="4535"/>
      </w:tblGrid>
      <w:tr>
        <w:trPr>
          <w:tblHeader w:val="true"/>
          <w:cantSplit/>
          <w:tblHeader/>
        </w:trPr>
        <w:tc>
          <w:tcPr>
            <w:tcW w:type="dxa" w:w="2665"/>
            <w:tcMar>
              <w:top w:w="90" w:type="dxa"/>
              <w:start w:w="110" w:type="dxa"/>
              <w:bottom w:w="90" w:type="dxa"/>
              <w:end w:w="110" w:type="dxa"/>
            </w:tcMar>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after="80" w:line="240" w:lineRule="auto" w:before="80"/>
              <w:jc w:val="left"/>
            </w:pPr>
            <w:r>
              <w:rPr>
                <w:rFonts w:ascii="Aptos" w:hAnsi="Aptos"/>
                <w:b/>
                <w:color w:val="FFFFFF"/>
                <w:sz w:val="18"/>
              </w:rPr>
              <w:t>Görev</w:t>
            </w:r>
          </w:p>
        </w:tc>
        <w:tc>
          <w:tcPr>
            <w:tcW w:type="dxa" w:w="1984"/>
            <w:tcMar>
              <w:top w:w="90" w:type="dxa"/>
              <w:start w:w="110" w:type="dxa"/>
              <w:bottom w:w="90" w:type="dxa"/>
              <w:end w:w="110" w:type="dxa"/>
            </w:tcMar>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after="80" w:line="240" w:lineRule="auto" w:before="80"/>
              <w:jc w:val="left"/>
            </w:pPr>
            <w:r>
              <w:rPr>
                <w:rFonts w:ascii="Aptos" w:hAnsi="Aptos"/>
                <w:b/>
                <w:color w:val="FFFFFF"/>
                <w:sz w:val="18"/>
              </w:rPr>
              <w:t>Önerilen model</w:t>
            </w:r>
          </w:p>
        </w:tc>
        <w:tc>
          <w:tcPr>
            <w:tcW w:type="dxa" w:w="4535"/>
            <w:tcMar>
              <w:top w:w="90" w:type="dxa"/>
              <w:start w:w="110" w:type="dxa"/>
              <w:bottom w:w="90" w:type="dxa"/>
              <w:end w:w="110" w:type="dxa"/>
            </w:tcMar>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after="80" w:line="240" w:lineRule="auto" w:before="80"/>
              <w:jc w:val="left"/>
            </w:pPr>
            <w:r>
              <w:rPr>
                <w:rFonts w:ascii="Aptos" w:hAnsi="Aptos"/>
                <w:b/>
                <w:color w:val="FFFFFF"/>
                <w:sz w:val="18"/>
              </w:rPr>
              <w:t>Kullanım nedeni ve geçiş şartı</w:t>
            </w:r>
          </w:p>
        </w:tc>
      </w:tr>
      <w:tr>
        <w:trPr>
          <w:cantSplit/>
          <w:cantSplit/>
        </w:trPr>
        <w:tc>
          <w:tcPr>
            <w:tcW w:type="dxa" w:w="266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line="240" w:lineRule="auto" w:before="80"/>
            </w:pPr>
            <w:r>
              <w:rPr>
                <w:rFonts w:ascii="Aptos" w:hAnsi="Aptos"/>
                <w:b/>
                <w:color w:val="000000"/>
                <w:sz w:val="18"/>
              </w:rPr>
              <w:t>F0-00  Kapsam ve ortam sözleşmesi</w:t>
            </w:r>
          </w:p>
        </w:tc>
        <w:tc>
          <w:tcPr>
            <w:tcW w:type="dxa" w:w="1984"/>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line="240" w:lineRule="auto" w:before="80"/>
            </w:pPr>
            <w:r>
              <w:rPr>
                <w:rFonts w:ascii="Aptos" w:hAnsi="Aptos"/>
                <w:b/>
                <w:color w:val="000000"/>
                <w:sz w:val="18"/>
              </w:rPr>
              <w:t>Sol  medium</w:t>
            </w:r>
          </w:p>
        </w:tc>
        <w:tc>
          <w:tcPr>
            <w:tcW w:type="dxa" w:w="453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Kurulum, sürüm kilidi ve mevcut kararların somutlaştırılması. Mimari kapsam çelişkisi çıkarsa Astra incelemesine geç. Tamamlanmış görev; bu satır gelecekteki düzeltme incelemesi içindir.</w:t>
            </w:r>
          </w:p>
        </w:tc>
      </w:tr>
      <w:tr>
        <w:trPr>
          <w:cantSplit/>
          <w:cantSplit/>
        </w:trPr>
        <w:tc>
          <w:tcPr>
            <w:tcW w:type="dxa" w:w="266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line="240" w:lineRule="auto" w:before="80"/>
            </w:pPr>
            <w:r>
              <w:rPr>
                <w:rFonts w:ascii="Aptos" w:hAnsi="Aptos"/>
                <w:b/>
                <w:color w:val="000000"/>
                <w:sz w:val="18"/>
              </w:rPr>
              <w:t>F0-01  Robot modeli ve manifest</w:t>
            </w:r>
          </w:p>
        </w:tc>
        <w:tc>
          <w:tcPr>
            <w:tcW w:type="dxa" w:w="1984"/>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line="240" w:lineRule="auto" w:before="80"/>
            </w:pPr>
            <w:r>
              <w:rPr>
                <w:rFonts w:ascii="Aptos" w:hAnsi="Aptos"/>
                <w:b/>
                <w:color w:val="000000"/>
                <w:sz w:val="18"/>
              </w:rPr>
              <w:t>Sol  medium</w:t>
            </w:r>
          </w:p>
        </w:tc>
        <w:tc>
          <w:tcPr>
            <w:tcW w:type="dxa" w:w="453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URDF kaynağı, hash, joint sırası, limitler ve manifest. Frame veya TCP belirsizliği çözülemiyorsa Astra kullan. Tamamlanmış görev; bu satır gelecekteki düzeltme incelemesi içindir.</w:t>
            </w:r>
          </w:p>
        </w:tc>
      </w:tr>
      <w:tr>
        <w:trPr>
          <w:cantSplit/>
          <w:cantSplit/>
        </w:trPr>
        <w:tc>
          <w:tcPr>
            <w:tcW w:type="dxa" w:w="266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line="240" w:lineRule="auto" w:before="80"/>
            </w:pPr>
            <w:r>
              <w:rPr>
                <w:rFonts w:ascii="Aptos" w:hAnsi="Aptos"/>
                <w:b/>
                <w:color w:val="000000"/>
                <w:sz w:val="18"/>
              </w:rPr>
              <w:t>F0-02  Bağımsız ileri kinematik</w:t>
            </w:r>
          </w:p>
        </w:tc>
        <w:tc>
          <w:tcPr>
            <w:tcW w:type="dxa" w:w="1984"/>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line="240" w:lineRule="auto" w:before="80"/>
            </w:pPr>
            <w:r>
              <w:rPr>
                <w:rFonts w:ascii="Aptos" w:hAnsi="Aptos"/>
                <w:b/>
                <w:color w:val="000000"/>
                <w:sz w:val="18"/>
              </w:rPr>
              <w:t>Astra  high</w:t>
            </w:r>
          </w:p>
        </w:tc>
        <w:tc>
          <w:tcPr>
            <w:tcW w:type="dxa" w:w="453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Dönüşüm yönü, çarpım sırası, base tip ve TCP hataları sonraki tüm sonuçları etkiler. Tamamlanmış görev; bu satır gelecekteki düzeltme incelemesi içindir.</w:t>
            </w:r>
          </w:p>
        </w:tc>
      </w:tr>
      <w:tr>
        <w:trPr>
          <w:cantSplit/>
          <w:cantSplit/>
        </w:trPr>
        <w:tc>
          <w:tcPr>
            <w:tcW w:type="dxa" w:w="266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line="240" w:lineRule="auto" w:before="80"/>
            </w:pPr>
            <w:r>
              <w:rPr>
                <w:rFonts w:ascii="Aptos" w:hAnsi="Aptos"/>
                <w:b/>
                <w:color w:val="000000"/>
                <w:sz w:val="18"/>
              </w:rPr>
              <w:t>F0-03  Jacobian ve metrikler</w:t>
            </w:r>
          </w:p>
        </w:tc>
        <w:tc>
          <w:tcPr>
            <w:tcW w:type="dxa" w:w="1984"/>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line="240" w:lineRule="auto" w:before="80"/>
            </w:pPr>
            <w:r>
              <w:rPr>
                <w:rFonts w:ascii="Aptos" w:hAnsi="Aptos"/>
                <w:b/>
                <w:color w:val="000000"/>
                <w:sz w:val="18"/>
              </w:rPr>
              <w:t>Astra  high</w:t>
            </w:r>
          </w:p>
        </w:tc>
        <w:tc>
          <w:tcPr>
            <w:tcW w:type="dxa" w:w="453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Çerçeve seçimi, sonlu fark, karakteristik uzunluk ve dönme metrikleri birlikte doğrulanır. Tamamlanmış görev; bu satır gelecekteki düzeltme incelemesi içindir.</w:t>
            </w:r>
          </w:p>
        </w:tc>
      </w:tr>
      <w:tr>
        <w:trPr>
          <w:cantSplit/>
          <w:cantSplit/>
        </w:trPr>
        <w:tc>
          <w:tcPr>
            <w:tcW w:type="dxa" w:w="266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line="240" w:lineRule="auto" w:before="80"/>
            </w:pPr>
            <w:r>
              <w:rPr>
                <w:rFonts w:ascii="Aptos" w:hAnsi="Aptos"/>
                <w:b/>
                <w:color w:val="000000"/>
                <w:sz w:val="18"/>
              </w:rPr>
              <w:t>F0-04  Deterministik veri fabrikası</w:t>
            </w:r>
          </w:p>
        </w:tc>
        <w:tc>
          <w:tcPr>
            <w:tcW w:type="dxa" w:w="1984"/>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line="240" w:lineRule="auto" w:before="80"/>
            </w:pPr>
            <w:r>
              <w:rPr>
                <w:rFonts w:ascii="Aptos" w:hAnsi="Aptos"/>
                <w:b/>
                <w:color w:val="000000"/>
                <w:sz w:val="18"/>
              </w:rPr>
              <w:t>Sol  medium</w:t>
            </w:r>
          </w:p>
        </w:tc>
        <w:tc>
          <w:tcPr>
            <w:tcW w:type="dxa" w:w="453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Doğrulanmış kinematik sözleşmesi üzerinden seed, hash, split, sızıntı ve coverage kontrolleri uygulanır. Tamamlanmış görev; bu satır gelecekteki düzeltme incelemesi içindir.</w:t>
            </w:r>
          </w:p>
        </w:tc>
      </w:tr>
      <w:tr>
        <w:trPr>
          <w:cantSplit/>
          <w:cantSplit/>
        </w:trPr>
        <w:tc>
          <w:tcPr>
            <w:tcW w:type="dxa" w:w="266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line="240" w:lineRule="auto" w:before="80"/>
            </w:pPr>
            <w:r>
              <w:rPr>
                <w:rFonts w:ascii="Aptos" w:hAnsi="Aptos"/>
                <w:b/>
                <w:color w:val="000000"/>
                <w:sz w:val="18"/>
              </w:rPr>
              <w:t>F0-05  Sayısal baseline</w:t>
            </w:r>
          </w:p>
        </w:tc>
        <w:tc>
          <w:tcPr>
            <w:tcW w:type="dxa" w:w="1984"/>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line="240" w:lineRule="auto" w:before="80"/>
            </w:pPr>
            <w:r>
              <w:rPr>
                <w:rFonts w:ascii="Aptos" w:hAnsi="Aptos"/>
                <w:b/>
                <w:color w:val="000000"/>
                <w:sz w:val="18"/>
              </w:rPr>
              <w:t>Astra high  ardından Sol medium</w:t>
            </w:r>
          </w:p>
        </w:tc>
        <w:tc>
          <w:tcPr>
            <w:tcW w:type="dxa" w:w="453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Astra çözücü matematiği ve benchmark sözleşmesini kurar. Sol CLI, kayıt ve raporlama katmanlarını tamamlar. Tamamlanmış görev; bu satır gelecekteki düzeltme incelemesi içindir.</w:t>
            </w:r>
          </w:p>
        </w:tc>
      </w:tr>
      <w:tr>
        <w:trPr>
          <w:cantSplit/>
          <w:cantSplit/>
        </w:trPr>
        <w:tc>
          <w:tcPr>
            <w:tcW w:type="dxa" w:w="266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line="240" w:lineRule="auto" w:before="80"/>
            </w:pPr>
            <w:r>
              <w:rPr>
                <w:rFonts w:ascii="Aptos" w:hAnsi="Aptos"/>
                <w:b/>
                <w:color w:val="000000"/>
                <w:sz w:val="18"/>
              </w:rPr>
              <w:t>F0-06  Kapanış ve faz devri</w:t>
            </w:r>
          </w:p>
        </w:tc>
        <w:tc>
          <w:tcPr>
            <w:tcW w:type="dxa" w:w="1984"/>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line="240" w:lineRule="auto" w:before="80"/>
            </w:pPr>
            <w:r>
              <w:rPr>
                <w:rFonts w:ascii="Aptos" w:hAnsi="Aptos"/>
                <w:b/>
                <w:color w:val="000000"/>
                <w:sz w:val="18"/>
              </w:rPr>
              <w:t>Sol medium  ardından Astra medium</w:t>
            </w:r>
          </w:p>
        </w:tc>
        <w:tc>
          <w:tcPr>
            <w:tcW w:type="dxa" w:w="453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Sol kanıt paketini toplar. Astra G0 ölçütleriyle sınırlı kod ve sonuç incelemesi yapar. Tamamlanmış görev; bu satır gelecekteki düzeltme incelemesi içindir.</w:t>
            </w:r>
          </w:p>
        </w:tc>
      </w:tr>
    </w:tbl>
    <w:p>
      <w:pPr>
        <w:spacing w:after="0"/>
      </w:pPr>
    </w:p>
    <w:p>
      <w:r>
        <w:t>Kritik sınır</w:t>
      </w:r>
    </w:p>
    <w:p>
      <w:r>
        <w:t>F0-02 ve F0-03 görevlerinde model tasarrufu amacıyla doğrulama kapsamı azaltılmaz. FK ve Jacobian geçmeden veri fabrikası araştırma girdisi olarak kabul edilmez.</w:t>
      </w:r>
    </w:p>
    <w:p>
      <w:r/>
    </w:p>
    <w:p>
      <w:pPr>
        <w:pStyle w:val="Heading1"/>
      </w:pPr>
      <w:r>
        <w:rPr>
          <w:color w:val="000000"/>
        </w:rPr>
        <w:t>Core Model Dağılımı</w:t>
      </w:r>
    </w:p>
    <w:p>
      <w:pPr>
        <w:keepNext/>
      </w:pPr>
      <w:r>
        <w:t>Hedef: neural baseline, differentiable FK ve physics aware varyantları kontrollü deneylerle değerlendirerek G1 kararını üretmek.</w:t>
      </w:r>
    </w:p>
    <w:tbl>
      <w:tblPr>
        <w:tblStyle w:val="TableGrid"/>
        <w:tblW w:type="auto" w:w="0"/>
        <w:jc w:val="center"/>
        <w:tblLayout w:type="fixed"/>
        <w:tblLook w:firstColumn="1" w:firstRow="1" w:lastColumn="0" w:lastRow="0" w:noHBand="0" w:noVBand="1" w:val="04A0"/>
      </w:tblPr>
      <w:tblGrid>
        <w:gridCol w:w="2665"/>
        <w:gridCol w:w="1984"/>
        <w:gridCol w:w="4535"/>
      </w:tblGrid>
      <w:tr>
        <w:trPr>
          <w:tblHeader w:val="true"/>
          <w:cantSplit/>
          <w:tblHeader/>
        </w:trPr>
        <w:tc>
          <w:tcPr>
            <w:tcW w:type="dxa" w:w="2665"/>
            <w:tcMar>
              <w:top w:w="90" w:type="dxa"/>
              <w:start w:w="110" w:type="dxa"/>
              <w:bottom w:w="90" w:type="dxa"/>
              <w:end w:w="110" w:type="dxa"/>
            </w:tcMar>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after="80" w:line="240" w:lineRule="auto" w:before="80"/>
              <w:jc w:val="left"/>
            </w:pPr>
            <w:r>
              <w:rPr>
                <w:rFonts w:ascii="Aptos" w:hAnsi="Aptos"/>
                <w:b/>
                <w:color w:val="FFFFFF"/>
                <w:sz w:val="18"/>
              </w:rPr>
              <w:t>Görev</w:t>
            </w:r>
          </w:p>
        </w:tc>
        <w:tc>
          <w:tcPr>
            <w:tcW w:type="dxa" w:w="1984"/>
            <w:tcMar>
              <w:top w:w="90" w:type="dxa"/>
              <w:start w:w="110" w:type="dxa"/>
              <w:bottom w:w="90" w:type="dxa"/>
              <w:end w:w="110" w:type="dxa"/>
            </w:tcMar>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after="80" w:line="240" w:lineRule="auto" w:before="80"/>
              <w:jc w:val="left"/>
            </w:pPr>
            <w:r>
              <w:rPr>
                <w:rFonts w:ascii="Aptos" w:hAnsi="Aptos"/>
                <w:b/>
                <w:color w:val="FFFFFF"/>
                <w:sz w:val="18"/>
              </w:rPr>
              <w:t>Önerilen model</w:t>
            </w:r>
          </w:p>
        </w:tc>
        <w:tc>
          <w:tcPr>
            <w:tcW w:type="dxa" w:w="4535"/>
            <w:tcMar>
              <w:top w:w="90" w:type="dxa"/>
              <w:start w:w="110" w:type="dxa"/>
              <w:bottom w:w="90" w:type="dxa"/>
              <w:end w:w="110" w:type="dxa"/>
            </w:tcMar>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after="80" w:line="240" w:lineRule="auto" w:before="80"/>
              <w:jc w:val="left"/>
            </w:pPr>
            <w:r>
              <w:rPr>
                <w:rFonts w:ascii="Aptos" w:hAnsi="Aptos"/>
                <w:b/>
                <w:color w:val="FFFFFF"/>
                <w:sz w:val="18"/>
              </w:rPr>
              <w:t>Kullanım nedeni ve geçiş şartı</w:t>
            </w:r>
          </w:p>
        </w:tc>
      </w:tr>
      <w:tr>
        <w:trPr>
          <w:cantSplit/>
          <w:cantSplit/>
        </w:trPr>
        <w:tc>
          <w:tcPr>
            <w:tcW w:type="dxa" w:w="266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line="240" w:lineRule="auto" w:before="80"/>
            </w:pPr>
            <w:r>
              <w:rPr>
                <w:rFonts w:ascii="Aptos" w:hAnsi="Aptos"/>
                <w:b/>
                <w:color w:val="000000"/>
                <w:sz w:val="18"/>
              </w:rPr>
              <w:t>C1-01  Harici baseline entegrasyonu</w:t>
            </w:r>
          </w:p>
        </w:tc>
        <w:tc>
          <w:tcPr>
            <w:tcW w:type="dxa" w:w="1984"/>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line="240" w:lineRule="auto" w:before="80"/>
            </w:pPr>
            <w:r>
              <w:rPr>
                <w:rFonts w:ascii="Aptos" w:hAnsi="Aptos"/>
                <w:b/>
                <w:color w:val="000000"/>
                <w:sz w:val="18"/>
              </w:rPr>
              <w:t>Sol  high</w:t>
            </w:r>
          </w:p>
        </w:tc>
        <w:tc>
          <w:tcPr>
            <w:tcW w:type="dxa" w:w="453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line="240" w:lineRule="auto" w:before="80"/>
            </w:pPr>
            <w:r>
              <w:rPr>
                <w:rFonts w:ascii="Aptos" w:hAnsi="Aptos"/>
                <w:color w:val="000000"/>
                <w:sz w:val="18"/>
              </w:rPr>
              <w:t>KDL, TRAC IK ve pick ik adaptörleri. Aynı tolerans ve bütçe sözleşmesi korunur.</w:t>
            </w:r>
          </w:p>
        </w:tc>
      </w:tr>
      <w:tr>
        <w:trPr>
          <w:cantSplit/>
          <w:cantSplit/>
        </w:trPr>
        <w:tc>
          <w:tcPr>
            <w:tcW w:type="dxa" w:w="266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line="240" w:lineRule="auto" w:before="80"/>
            </w:pPr>
            <w:r>
              <w:rPr>
                <w:rFonts w:ascii="Aptos" w:hAnsi="Aptos"/>
                <w:b/>
                <w:color w:val="000000"/>
                <w:sz w:val="18"/>
              </w:rPr>
              <w:t>C1-02  Durumla şartlandırılmış çiftler</w:t>
            </w:r>
          </w:p>
        </w:tc>
        <w:tc>
          <w:tcPr>
            <w:tcW w:type="dxa" w:w="1984"/>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line="240" w:lineRule="auto" w:before="80"/>
            </w:pPr>
            <w:r>
              <w:rPr>
                <w:rFonts w:ascii="Aptos" w:hAnsi="Aptos"/>
                <w:b/>
                <w:color w:val="000000"/>
                <w:sz w:val="18"/>
              </w:rPr>
              <w:t>Sol  medium</w:t>
            </w:r>
          </w:p>
        </w:tc>
        <w:tc>
          <w:tcPr>
            <w:tcW w:type="dxa" w:w="453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line="240" w:lineRule="auto" w:before="80"/>
            </w:pPr>
            <w:r>
              <w:rPr>
                <w:rFonts w:ascii="Aptos" w:hAnsi="Aptos"/>
                <w:color w:val="000000"/>
                <w:sz w:val="18"/>
              </w:rPr>
              <w:t>q current, pair mode ve teacher metadata uygulanır. Sızıntı ve seçim yanlılığı test edilir.</w:t>
            </w:r>
          </w:p>
        </w:tc>
      </w:tr>
      <w:tr>
        <w:trPr>
          <w:cantSplit/>
          <w:cantSplit/>
        </w:trPr>
        <w:tc>
          <w:tcPr>
            <w:tcW w:type="dxa" w:w="266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line="240" w:lineRule="auto" w:before="80"/>
            </w:pPr>
            <w:r>
              <w:rPr>
                <w:rFonts w:ascii="Aptos" w:hAnsi="Aptos"/>
                <w:b/>
                <w:color w:val="000000"/>
                <w:sz w:val="18"/>
              </w:rPr>
              <w:t>C1-03  Diferansiyellenebilir FK</w:t>
            </w:r>
          </w:p>
        </w:tc>
        <w:tc>
          <w:tcPr>
            <w:tcW w:type="dxa" w:w="1984"/>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line="240" w:lineRule="auto" w:before="80"/>
            </w:pPr>
            <w:r>
              <w:rPr>
                <w:rFonts w:ascii="Aptos" w:hAnsi="Aptos"/>
                <w:b/>
                <w:color w:val="000000"/>
                <w:sz w:val="18"/>
              </w:rPr>
              <w:t>Astra  high</w:t>
            </w:r>
          </w:p>
        </w:tc>
        <w:tc>
          <w:tcPr>
            <w:tcW w:type="dxa" w:w="453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line="240" w:lineRule="auto" w:before="80"/>
            </w:pPr>
            <w:r>
              <w:rPr>
                <w:rFonts w:ascii="Aptos" w:hAnsi="Aptos"/>
                <w:color w:val="000000"/>
                <w:sz w:val="18"/>
              </w:rPr>
              <w:t>Referans eşliği, autograd sürekliliği ve gradcheck kritik matematik kontrolleridir.</w:t>
            </w:r>
          </w:p>
        </w:tc>
      </w:tr>
      <w:tr>
        <w:trPr>
          <w:cantSplit/>
          <w:cantSplit/>
        </w:trPr>
        <w:tc>
          <w:tcPr>
            <w:tcW w:type="dxa" w:w="266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line="240" w:lineRule="auto" w:before="80"/>
            </w:pPr>
            <w:r>
              <w:rPr>
                <w:rFonts w:ascii="Aptos" w:hAnsi="Aptos"/>
                <w:b/>
                <w:color w:val="000000"/>
                <w:sz w:val="18"/>
              </w:rPr>
              <w:t>C1-04  Neural baseline modelleri</w:t>
            </w:r>
          </w:p>
        </w:tc>
        <w:tc>
          <w:tcPr>
            <w:tcW w:type="dxa" w:w="1984"/>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line="240" w:lineRule="auto" w:before="80"/>
            </w:pPr>
            <w:r>
              <w:rPr>
                <w:rFonts w:ascii="Aptos" w:hAnsi="Aptos"/>
                <w:b/>
                <w:color w:val="000000"/>
                <w:sz w:val="18"/>
              </w:rPr>
              <w:t>Sol  high</w:t>
            </w:r>
          </w:p>
        </w:tc>
        <w:tc>
          <w:tcPr>
            <w:tcW w:type="dxa" w:w="453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line="240" w:lineRule="auto" w:before="80"/>
            </w:pPr>
            <w:r>
              <w:rPr>
                <w:rFonts w:ascii="Aptos" w:hAnsi="Aptos"/>
                <w:color w:val="000000"/>
                <w:sz w:val="18"/>
              </w:rPr>
              <w:t>Tanımlı MLP, eğitim döngüsü, checkpoint ve küçük veri öğrenme kontrolü uygulanır.</w:t>
            </w:r>
          </w:p>
        </w:tc>
      </w:tr>
      <w:tr>
        <w:trPr>
          <w:cantSplit/>
          <w:cantSplit/>
        </w:trPr>
        <w:tc>
          <w:tcPr>
            <w:tcW w:type="dxa" w:w="266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line="240" w:lineRule="auto" w:before="80"/>
            </w:pPr>
            <w:r>
              <w:rPr>
                <w:rFonts w:ascii="Aptos" w:hAnsi="Aptos"/>
                <w:b/>
                <w:color w:val="000000"/>
                <w:sz w:val="18"/>
              </w:rPr>
              <w:t>C1-05  Physics aware varyantlar</w:t>
            </w:r>
          </w:p>
        </w:tc>
        <w:tc>
          <w:tcPr>
            <w:tcW w:type="dxa" w:w="1984"/>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line="240" w:lineRule="auto" w:before="80"/>
            </w:pPr>
            <w:r>
              <w:rPr>
                <w:rFonts w:ascii="Aptos" w:hAnsi="Aptos"/>
                <w:b/>
                <w:color w:val="000000"/>
                <w:sz w:val="18"/>
              </w:rPr>
              <w:t>Astra high  ardından Sol high</w:t>
            </w:r>
          </w:p>
        </w:tc>
        <w:tc>
          <w:tcPr>
            <w:tcW w:type="dxa" w:w="453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line="240" w:lineRule="auto" w:before="80"/>
            </w:pPr>
            <w:r>
              <w:rPr>
                <w:rFonts w:ascii="Aptos" w:hAnsi="Aptos"/>
                <w:color w:val="000000"/>
                <w:sz w:val="18"/>
              </w:rPr>
              <w:t>Astra kayıp ve ablation tasarımını inceler. Sol deney altyapısını uygular ve çalıştırır.</w:t>
            </w:r>
          </w:p>
        </w:tc>
      </w:tr>
      <w:tr>
        <w:trPr>
          <w:cantSplit/>
          <w:cantSplit/>
        </w:trPr>
        <w:tc>
          <w:tcPr>
            <w:tcW w:type="dxa" w:w="266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line="240" w:lineRule="auto" w:before="80"/>
            </w:pPr>
            <w:r>
              <w:rPr>
                <w:rFonts w:ascii="Aptos" w:hAnsi="Aptos"/>
                <w:b/>
                <w:color w:val="000000"/>
                <w:sz w:val="18"/>
              </w:rPr>
              <w:t>C1-06  Ablasyon ve nihai değerlendirme</w:t>
            </w:r>
          </w:p>
        </w:tc>
        <w:tc>
          <w:tcPr>
            <w:tcW w:type="dxa" w:w="1984"/>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line="240" w:lineRule="auto" w:before="80"/>
            </w:pPr>
            <w:r>
              <w:rPr>
                <w:rFonts w:ascii="Aptos" w:hAnsi="Aptos"/>
                <w:b/>
                <w:color w:val="000000"/>
                <w:sz w:val="18"/>
              </w:rPr>
              <w:t>Astra  high</w:t>
            </w:r>
          </w:p>
        </w:tc>
        <w:tc>
          <w:tcPr>
            <w:tcW w:type="dxa" w:w="453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line="240" w:lineRule="auto" w:before="80"/>
            </w:pPr>
            <w:r>
              <w:rPr>
                <w:rFonts w:ascii="Aptos" w:hAnsi="Aptos"/>
                <w:color w:val="000000"/>
                <w:sz w:val="18"/>
              </w:rPr>
              <w:t>İstatistik, veri sızıntısı, karşılaştırma adaleti, bootstrap ve hipotez yorumu birlikte değerlendirilir.</w:t>
            </w:r>
          </w:p>
        </w:tc>
      </w:tr>
      <w:tr>
        <w:trPr>
          <w:cantSplit/>
          <w:cantSplit/>
        </w:trPr>
        <w:tc>
          <w:tcPr>
            <w:tcW w:type="dxa" w:w="266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line="240" w:lineRule="auto" w:before="80"/>
            </w:pPr>
            <w:r>
              <w:rPr>
                <w:rFonts w:ascii="Aptos" w:hAnsi="Aptos"/>
                <w:b/>
                <w:color w:val="000000"/>
                <w:sz w:val="18"/>
              </w:rPr>
              <w:t>C1-07  Model kartı ve kapanış</w:t>
            </w:r>
          </w:p>
        </w:tc>
        <w:tc>
          <w:tcPr>
            <w:tcW w:type="dxa" w:w="1984"/>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line="240" w:lineRule="auto" w:before="80"/>
            </w:pPr>
            <w:r>
              <w:rPr>
                <w:rFonts w:ascii="Aptos" w:hAnsi="Aptos"/>
                <w:b/>
                <w:color w:val="000000"/>
                <w:sz w:val="18"/>
              </w:rPr>
              <w:t>Sol medium  ardından Astra medium</w:t>
            </w:r>
          </w:p>
        </w:tc>
        <w:tc>
          <w:tcPr>
            <w:tcW w:type="dxa" w:w="453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line="240" w:lineRule="auto" w:before="80"/>
            </w:pPr>
            <w:r>
              <w:rPr>
                <w:rFonts w:ascii="Aptos" w:hAnsi="Aptos"/>
                <w:color w:val="000000"/>
                <w:sz w:val="18"/>
              </w:rPr>
              <w:t>Sol model kartı ve paketi hazırlar. Astra G1 kanıtlarını ve iddia sınırlarını inceler.</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C1-06S  Geometrik IK ek kapsamı</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Astra high ardından Sol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KUKA geometrik bileşeni PASS. Neural eğitim başarısı değildir; H2de aday, teacher ve karşılaştırma tabanı olarak kullanılacak.</w:t>
            </w:r>
          </w:p>
        </w:tc>
      </w:tr>
    </w:tbl>
    <w:p>
      <w:pPr>
        <w:spacing w:after="0"/>
      </w:pPr>
    </w:p>
    <w:p>
      <w:r>
        <w:t>Kaynak kullanımı</w:t>
      </w:r>
    </w:p>
    <w:p>
      <w:r>
        <w:t>Uzun eğitimler Codex oturumundan bağımsız çalıştırılır. Model yalnız hata tanısı, deney kararı ve sonuç değerlendirmesi sırasında devreye alınır.</w:t>
      </w:r>
    </w:p>
    <w:p>
      <w:r/>
    </w:p>
    <w:p>
      <w:pPr>
        <w:pStyle w:val="Heading1"/>
      </w:pPr>
      <w:r>
        <w:rPr>
          <w:color w:val="000000"/>
        </w:rPr>
        <w:t>Hybrid Model Dağılımı</w:t>
      </w:r>
    </w:p>
    <w:p>
      <w:pPr>
        <w:keepNext/>
      </w:pPr>
      <w:r>
        <w:t>Hedef: güvenilir hata davranışı, ortak zaman bütçesi altında hibrit çözüm, H1 değerlendirmesi, yörünge ve ONNX eşliğiyle G2 kararını üretmek.</w:t>
      </w:r>
    </w:p>
    <w:tbl>
      <w:tblPr>
        <w:tblStyle w:val="TableGrid"/>
        <w:tblW w:type="auto" w:w="0"/>
        <w:jc w:val="center"/>
        <w:tblLayout w:type="fixed"/>
        <w:tblLook w:firstColumn="1" w:firstRow="1" w:lastColumn="0" w:lastRow="0" w:noHBand="0" w:noVBand="1" w:val="04A0"/>
      </w:tblPr>
      <w:tblGrid>
        <w:gridCol w:w="2665"/>
        <w:gridCol w:w="1984"/>
        <w:gridCol w:w="4535"/>
      </w:tblGrid>
      <w:tr>
        <w:trPr>
          <w:tblHeader w:val="true"/>
          <w:cantSplit/>
          <w:tblHeader/>
        </w:trPr>
        <w:tc>
          <w:tcPr>
            <w:tcW w:type="dxa" w:w="2665"/>
            <w:tcMar>
              <w:top w:w="90" w:type="dxa"/>
              <w:start w:w="110" w:type="dxa"/>
              <w:bottom w:w="90" w:type="dxa"/>
              <w:end w:w="110" w:type="dxa"/>
            </w:tcMar>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after="80" w:line="240" w:lineRule="auto" w:before="80"/>
              <w:jc w:val="left"/>
            </w:pPr>
            <w:r>
              <w:rPr>
                <w:rFonts w:ascii="Aptos" w:hAnsi="Aptos"/>
                <w:b/>
                <w:color w:val="FFFFFF"/>
                <w:sz w:val="18"/>
              </w:rPr>
              <w:t>Görev</w:t>
            </w:r>
          </w:p>
        </w:tc>
        <w:tc>
          <w:tcPr>
            <w:tcW w:type="dxa" w:w="1984"/>
            <w:tcMar>
              <w:top w:w="90" w:type="dxa"/>
              <w:start w:w="110" w:type="dxa"/>
              <w:bottom w:w="90" w:type="dxa"/>
              <w:end w:w="110" w:type="dxa"/>
            </w:tcMar>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after="80" w:line="240" w:lineRule="auto" w:before="80"/>
              <w:jc w:val="left"/>
            </w:pPr>
            <w:r>
              <w:rPr>
                <w:rFonts w:ascii="Aptos" w:hAnsi="Aptos"/>
                <w:b/>
                <w:color w:val="FFFFFF"/>
                <w:sz w:val="18"/>
              </w:rPr>
              <w:t>Önerilen model</w:t>
            </w:r>
          </w:p>
        </w:tc>
        <w:tc>
          <w:tcPr>
            <w:tcW w:type="dxa" w:w="4535"/>
            <w:tcMar>
              <w:top w:w="90" w:type="dxa"/>
              <w:start w:w="110" w:type="dxa"/>
              <w:bottom w:w="90" w:type="dxa"/>
              <w:end w:w="110" w:type="dxa"/>
            </w:tcMar>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after="80" w:line="240" w:lineRule="auto" w:before="80"/>
              <w:jc w:val="left"/>
            </w:pPr>
            <w:r>
              <w:rPr>
                <w:rFonts w:ascii="Aptos" w:hAnsi="Aptos"/>
                <w:b/>
                <w:color w:val="FFFFFF"/>
                <w:sz w:val="18"/>
              </w:rPr>
              <w:t>Kullanım nedeni ve geçiş şartı</w:t>
            </w:r>
          </w:p>
        </w:tc>
      </w:tr>
      <w:tr>
        <w:trPr>
          <w:cantSplit/>
          <w:cantSplit/>
        </w:trPr>
        <w:tc>
          <w:tcPr>
            <w:tcW w:type="dxa" w:w="266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H2-01  Kabul politikası ve bileşen kimliği</w:t>
            </w:r>
          </w:p>
        </w:tc>
        <w:tc>
          <w:tcPr>
            <w:tcW w:type="dxa" w:w="1984"/>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Sol high ardından Astra high</w:t>
            </w:r>
          </w:p>
        </w:tc>
        <w:tc>
          <w:tcPr>
            <w:tcW w:type="dxa" w:w="453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Sol uygulama ve kanıtları hazırlar; Astra kritik farkları ve kabul kararını sınırlı kapsamda inceler. Ön koşul: C1-07, C1-06S.</w:t>
            </w:r>
          </w:p>
        </w:tc>
      </w:tr>
      <w:tr>
        <w:trPr>
          <w:cantSplit/>
          <w:cantSplit/>
        </w:trPr>
        <w:tc>
          <w:tcPr>
            <w:tcW w:type="dxa" w:w="266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H2-02  Ortak bütçeli çok motorlu IK servisi</w:t>
            </w:r>
          </w:p>
        </w:tc>
        <w:tc>
          <w:tcPr>
            <w:tcW w:type="dxa" w:w="1984"/>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Astra high ardından Sol high</w:t>
            </w:r>
          </w:p>
        </w:tc>
        <w:tc>
          <w:tcPr>
            <w:tcW w:type="dxa" w:w="453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Astra protokolü veya kritik mantığı inceler; Sol uygulama ve ölçüm hattını tamamlar. Kabul, gerçek test kanıtına bağlıdır. Ön koşul: H2-01.</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H2-N1  Yeni neural deney ve veri sözleşmesi</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Astra high ardından Sol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Astra protokolü veya kritik mantığı inceler; Sol uygulama ve ölçüm hattını tamamlar. Kabul, gerçek test kanıtına bağlıdır.</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H2-N2  Yeni neural adayın eğitimi ve seçim kapısı</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Astra high ardından Sol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Astra protokolü veya kritik mantığı inceler; Sol uygulama ve ölçüm hattını tamamlar. Kabul, gerçek test kanıtına bağlıdır.</w:t>
            </w:r>
          </w:p>
        </w:tc>
      </w:tr>
      <w:tr>
        <w:trPr>
          <w:cantSplit/>
          <w:cantSplit/>
        </w:trPr>
        <w:tc>
          <w:tcPr>
            <w:tcW w:type="dxa" w:w="266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H2-03  H1 ve geometrik ürün karşılaştırması</w:t>
            </w:r>
          </w:p>
        </w:tc>
        <w:tc>
          <w:tcPr>
            <w:tcW w:type="dxa" w:w="1984"/>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Astra high ardından Sol high</w:t>
            </w:r>
          </w:p>
        </w:tc>
        <w:tc>
          <w:tcPr>
            <w:tcW w:type="dxa" w:w="453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Astra protokolü veya kritik mantığı inceler; Sol uygulama ve ölçüm hattını tamamlar. Kabul, gerçek test kanıtına bağlıdır. Ön koşul: H2-02, H2-N2.</w:t>
            </w:r>
          </w:p>
        </w:tc>
      </w:tr>
      <w:tr>
        <w:trPr>
          <w:cantSplit/>
          <w:cantSplit/>
        </w:trPr>
        <w:tc>
          <w:tcPr>
            <w:tcW w:type="dxa" w:w="266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H2-04  Solver rollout ve ortak geometri denetimi</w:t>
            </w:r>
          </w:p>
        </w:tc>
        <w:tc>
          <w:tcPr>
            <w:tcW w:type="dxa" w:w="1984"/>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Sol high ardından Astra high</w:t>
            </w:r>
          </w:p>
        </w:tc>
        <w:tc>
          <w:tcPr>
            <w:tcW w:type="dxa" w:w="453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Sol uygulama ve kanıtları hazırlar; Astra kritik farkları ve kabul kararını sınırlı kapsamda inceler. Ön koşul: H2-02.</w:t>
            </w:r>
          </w:p>
        </w:tc>
      </w:tr>
      <w:tr>
        <w:trPr>
          <w:cantSplit/>
          <w:cantSplit/>
        </w:trPr>
        <w:tc>
          <w:tcPr>
            <w:tcW w:type="dxa" w:w="266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H2-05  Öğrenilmiş bileşenin ONNX eşliği</w:t>
            </w:r>
          </w:p>
        </w:tc>
        <w:tc>
          <w:tcPr>
            <w:tcW w:type="dxa" w:w="1984"/>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Sol high</w:t>
            </w:r>
          </w:p>
        </w:tc>
        <w:tc>
          <w:tcPr>
            <w:tcW w:type="dxa" w:w="453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Ortak sözleşme üzerinde uygulama ve entegrasyon. Açıklanamayan sapma veya iki sonuçsuz düzeltmede Astra high incelemesi. Ön koşul: H2-02, H2-N2.</w:t>
            </w:r>
          </w:p>
        </w:tc>
      </w:tr>
      <w:tr>
        <w:trPr>
          <w:cantSplit/>
          <w:cantSplit/>
        </w:trPr>
        <w:tc>
          <w:tcPr>
            <w:tcW w:type="dxa" w:w="266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H2-06  G2 servis kabulü ve MR devri</w:t>
            </w:r>
          </w:p>
        </w:tc>
        <w:tc>
          <w:tcPr>
            <w:tcW w:type="dxa" w:w="1984"/>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Sol high ardından Astra high</w:t>
            </w:r>
          </w:p>
        </w:tc>
        <w:tc>
          <w:tcPr>
            <w:tcW w:type="dxa" w:w="453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Sol uygulama ve kanıtları hazırlar; Astra kritik farkları ve kabul kararını sınırlı kapsamda inceler. Ön koşul: H2-03, H2-04, H2-05.</w:t>
            </w:r>
          </w:p>
        </w:tc>
      </w:tr>
    </w:tbl>
    <w:p>
      <w:pPr>
        <w:spacing w:after="0"/>
      </w:pPr>
    </w:p>
    <w:p>
      <w:r>
        <w:t>Geçiş koşulu</w:t>
      </w:r>
    </w:p>
    <w:p>
      <w:r>
        <w:t>Sol ile iki kanıtsız düzeltme döngüsü sonuç vermiyorsa hata özeti, ilgili diff, test komutu ve log kesiti hazırlanarak Astra high oturumuna geçilir.</w:t>
      </w:r>
    </w:p>
    <w:p>
      <w:r/>
    </w:p>
    <w:p>
      <w:pPr>
        <w:pStyle w:val="Heading1"/>
      </w:pPr>
      <w:r>
        <w:rPr>
          <w:color w:val="000000"/>
        </w:rPr>
        <w:t>Studio Model Dağılımı</w:t>
      </w:r>
    </w:p>
    <w:p>
      <w:pPr>
        <w:keepNext/>
      </w:pPr>
      <w:r>
        <w:t>Hedef: ikinci robot, kullanılabilir masaüstü arayüzü ve temiz hedef sistemde doğrulanmış dağıtım paketiyle G3 kararını üretmek.</w:t>
      </w:r>
    </w:p>
    <w:tbl>
      <w:tblPr>
        <w:tblStyle w:val="TableGrid"/>
        <w:tblW w:type="auto" w:w="0"/>
        <w:jc w:val="center"/>
        <w:tblLayout w:type="fixed"/>
        <w:tblLook w:firstColumn="1" w:firstRow="1" w:lastColumn="0" w:lastRow="0" w:noHBand="0" w:noVBand="1" w:val="04A0"/>
      </w:tblPr>
      <w:tblGrid>
        <w:gridCol w:w="2665"/>
        <w:gridCol w:w="1984"/>
        <w:gridCol w:w="4535"/>
      </w:tblGrid>
      <w:tr>
        <w:trPr>
          <w:tblHeader w:val="true"/>
          <w:cantSplit/>
          <w:tblHeader/>
        </w:trPr>
        <w:tc>
          <w:tcPr>
            <w:tcW w:type="dxa" w:w="2665"/>
            <w:tcMar>
              <w:top w:w="90" w:type="dxa"/>
              <w:start w:w="110" w:type="dxa"/>
              <w:bottom w:w="90" w:type="dxa"/>
              <w:end w:w="110" w:type="dxa"/>
            </w:tcMar>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after="80" w:line="240" w:lineRule="auto" w:before="80"/>
              <w:jc w:val="left"/>
            </w:pPr>
            <w:r>
              <w:rPr>
                <w:rFonts w:ascii="Aptos" w:hAnsi="Aptos"/>
                <w:b/>
                <w:color w:val="FFFFFF"/>
                <w:sz w:val="18"/>
              </w:rPr>
              <w:t>Görev</w:t>
            </w:r>
          </w:p>
        </w:tc>
        <w:tc>
          <w:tcPr>
            <w:tcW w:type="dxa" w:w="1984"/>
            <w:tcMar>
              <w:top w:w="90" w:type="dxa"/>
              <w:start w:w="110" w:type="dxa"/>
              <w:bottom w:w="90" w:type="dxa"/>
              <w:end w:w="110" w:type="dxa"/>
            </w:tcMar>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after="80" w:line="240" w:lineRule="auto" w:before="80"/>
              <w:jc w:val="left"/>
            </w:pPr>
            <w:r>
              <w:rPr>
                <w:rFonts w:ascii="Aptos" w:hAnsi="Aptos"/>
                <w:b/>
                <w:color w:val="FFFFFF"/>
                <w:sz w:val="18"/>
              </w:rPr>
              <w:t>Önerilen model</w:t>
            </w:r>
          </w:p>
        </w:tc>
        <w:tc>
          <w:tcPr>
            <w:tcW w:type="dxa" w:w="4535"/>
            <w:tcMar>
              <w:top w:w="90" w:type="dxa"/>
              <w:start w:w="110" w:type="dxa"/>
              <w:bottom w:w="90" w:type="dxa"/>
              <w:end w:w="110" w:type="dxa"/>
            </w:tcMar>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after="80" w:line="240" w:lineRule="auto" w:before="80"/>
              <w:jc w:val="left"/>
            </w:pPr>
            <w:r>
              <w:rPr>
                <w:rFonts w:ascii="Aptos" w:hAnsi="Aptos"/>
                <w:b/>
                <w:color w:val="FFFFFF"/>
                <w:sz w:val="18"/>
              </w:rPr>
              <w:t>Kullanım nedeni ve geçiş şartı</w:t>
            </w:r>
          </w:p>
        </w:tc>
      </w:tr>
      <w:tr>
        <w:trPr>
          <w:cantSplit/>
          <w:cantSplit/>
        </w:trPr>
        <w:tc>
          <w:tcPr>
            <w:tcW w:type="dxa" w:w="266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S3-01  İkinci robot H3 değerlendirmesi</w:t>
            </w:r>
          </w:p>
        </w:tc>
        <w:tc>
          <w:tcPr>
            <w:tcW w:type="dxa" w:w="1984"/>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Sol high ardından Astra high</w:t>
            </w:r>
          </w:p>
        </w:tc>
        <w:tc>
          <w:tcPr>
            <w:tcW w:type="dxa" w:w="453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Sol uygulama ve kanıtları hazırlar; Astra kritik farkları ve kabul kararını sınırlı kapsamda inceler. Ön koşul: MR-06.</w:t>
            </w:r>
          </w:p>
        </w:tc>
      </w:tr>
      <w:tr>
        <w:trPr>
          <w:cantSplit/>
          <w:cantSplit/>
        </w:trPr>
        <w:tc>
          <w:tcPr>
            <w:tcW w:type="dxa" w:w="266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S3-02  GUI kabuğu ve generic servis bağlantısı</w:t>
            </w:r>
          </w:p>
        </w:tc>
        <w:tc>
          <w:tcPr>
            <w:tcW w:type="dxa" w:w="1984"/>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Sol high</w:t>
            </w:r>
          </w:p>
        </w:tc>
        <w:tc>
          <w:tcPr>
            <w:tcW w:type="dxa" w:w="453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Ortak sözleşme üzerinde uygulama ve entegrasyon. Açıklanamayan sapma veya iki sonuçsuz düzeltmede Astra high incelemesi. Ön koşul: S3-01.</w:t>
            </w:r>
          </w:p>
        </w:tc>
      </w:tr>
      <w:tr>
        <w:trPr>
          <w:cantSplit/>
          <w:cantSplit/>
        </w:trPr>
        <w:tc>
          <w:tcPr>
            <w:tcW w:type="dxa" w:w="266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S3-03  Analiz, birleşik playback ve uzun görevler</w:t>
            </w:r>
          </w:p>
        </w:tc>
        <w:tc>
          <w:tcPr>
            <w:tcW w:type="dxa" w:w="1984"/>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Sol high</w:t>
            </w:r>
          </w:p>
        </w:tc>
        <w:tc>
          <w:tcPr>
            <w:tcW w:type="dxa" w:w="453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Ortak sözleşme üzerinde uygulama ve entegrasyon. Açıklanamayan sapma veya iki sonuçsuz düzeltmede Astra high incelemesi. Ön koşul: S3-02, MP-05.</w:t>
            </w:r>
          </w:p>
        </w:tc>
      </w:tr>
      <w:tr>
        <w:trPr>
          <w:cantSplit/>
          <w:cantSplit/>
        </w:trPr>
        <w:tc>
          <w:tcPr>
            <w:tcW w:type="dxa" w:w="266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S3-04  Proje paketi ve temiz dağıtım</w:t>
            </w:r>
          </w:p>
        </w:tc>
        <w:tc>
          <w:tcPr>
            <w:tcW w:type="dxa" w:w="1984"/>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Sol high</w:t>
            </w:r>
          </w:p>
        </w:tc>
        <w:tc>
          <w:tcPr>
            <w:tcW w:type="dxa" w:w="453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Ortak sözleşme üzerinde uygulama ve entegrasyon. Açıklanamayan sapma veya iki sonuçsuz düzeltmede Astra high incelemesi. Ön koşul: S3-03.</w:t>
            </w:r>
          </w:p>
        </w:tc>
      </w:tr>
      <w:tr>
        <w:trPr>
          <w:cantSplit/>
          <w:cantSplit/>
        </w:trPr>
        <w:tc>
          <w:tcPr>
            <w:tcW w:type="dxa" w:w="266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S3-05  Kullanıcı testi ve genişletilmiş G3</w:t>
            </w:r>
          </w:p>
        </w:tc>
        <w:tc>
          <w:tcPr>
            <w:tcW w:type="dxa" w:w="1984"/>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Sol high ardından Astra high</w:t>
            </w:r>
          </w:p>
        </w:tc>
        <w:tc>
          <w:tcPr>
            <w:tcW w:type="dxa" w:w="4535"/>
            <w:tcMar>
              <w:top w:w="90" w:type="dxa"/>
              <w:start w:w="110" w:type="dxa"/>
              <w:bottom w:w="90" w:type="dxa"/>
              <w:end w:w="110" w:type="dxa"/>
            </w:tcMar>
            <w:vAlign w:val="top"/>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Sol uygulama ve kanıtları hazırlar; Astra kritik farkları ve kabul kararını sınırlı kapsamda inceler. Ön koşul: S3-04.</w:t>
            </w:r>
          </w:p>
        </w:tc>
      </w:tr>
    </w:tbl>
    <w:p>
      <w:pPr>
        <w:spacing w:after="0"/>
      </w:pPr>
    </w:p>
    <w:p>
      <w:r>
        <w:t>İnceleme kapsamı</w:t>
      </w:r>
    </w:p>
    <w:p>
      <w:r>
        <w:t>Sol ardından Astra ifadesi bütün görevin yeniden yapılması anlamına gelmez. Astra yalnız değişiklik özeti, kritik diff, test kanıtı, başarısızlıklar ve açık kararlarla beslenen sınırlı bir inceleme yapar.</w:t>
      </w:r>
    </w:p>
    <w:p>
      <w:r/>
    </w:p>
    <w:p>
      <w:pPr>
        <w:pStyle w:val="Heading1"/>
      </w:pPr>
      <w:r>
        <w:t>Roadmap r3 uzantılarında model dağılımı</w:t>
      </w:r>
    </w:p>
    <w:p>
      <w:r>
        <w:t>Uygulama sırası H2 → MR → S3-01 ve S3-02 → TR → MP → S3-03 ve S3-04 ve S3-05 şeklindedir. S3-01 H3 değerlendirmesi MR sonuçlarını kullanır. Geliştirmede TR önce gelir; çalışma zamanında planner çıktısı trajectory üreticisine gider. Aşağıdaki öneriler otomatik model değiştirme veya paralel ajan çalıştırma talimatı değildir.</w:t>
      </w:r>
    </w:p>
    <w:p>
      <w:pPr>
        <w:pStyle w:val="Heading2"/>
      </w:pPr>
      <w:r>
        <w:t>Çoklu robot görevleri</w:t>
      </w:r>
    </w:p>
    <w:p>
      <w:pPr>
        <w:keepNext/>
      </w:pPr>
      <w:r>
        <w:t>Hybrid kabulünden sonra ve Studio öncesinde üç robot için generic onboarding geliştirilir.</w:t>
      </w:r>
    </w:p>
    <w:tbl>
      <w:tblPr>
        <w:tblStyle w:val="TableGrid"/>
        <w:tblW w:type="auto" w:w="0"/>
        <w:tblLayout w:type="fixed"/>
        <w:tblLook w:firstColumn="1" w:firstRow="1" w:lastColumn="0" w:lastRow="0" w:noHBand="0" w:noVBand="1" w:val="04A0"/>
      </w:tblPr>
      <w:tblGrid>
        <w:gridCol w:w="2665"/>
        <w:gridCol w:w="1984"/>
        <w:gridCol w:w="4535"/>
      </w:tblGrid>
      <w:tr>
        <w:trPr>
          <w:cantSplit/>
          <w:tblHeader/>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after="80" w:before="80"/>
            </w:pPr>
            <w:r>
              <w:rPr>
                <w:color w:val="FFFFFF"/>
                <w:sz w:val="18"/>
              </w:rPr>
              <w:t>Görev</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after="80" w:before="80"/>
            </w:pPr>
            <w:r>
              <w:rPr>
                <w:color w:val="FFFFFF"/>
                <w:sz w:val="18"/>
              </w:rPr>
              <w:t>Önerilen model</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after="80" w:before="80"/>
            </w:pPr>
            <w:r>
              <w:rPr>
                <w:color w:val="FFFFFF"/>
                <w:sz w:val="18"/>
              </w:rPr>
              <w:t>Kullanım nedeni</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MR-01  Generic robot sözleşmesi ve import</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Sol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Ortak sözleşme üzerinde uygulama ve entegrasyon. Açıklanamayan sapma veya iki sonuçsuz düzeltmede Astra high incelemesi.</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MR-02  Generic FK/Jacobian ve numerical-ready</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Astra high ardından Sol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Astra protokolü veya kritik mantığı inceler; Sol uygulama ve ölçüm hattını tamamlar. Kabul, gerçek test kanıtına bağlıdır.</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MR-03  Robot bağımsız veri ve eğitim pipeline</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Sol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Ortak sözleşme üzerinde uygulama ve entegrasyon. Açıklanamayan sapma veya iki sonuçsuz düzeltmede Astra high incelemesi.</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MR-04  Registry ve kesintiye dayanıklı onboarding</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Sol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Ortak sözleşme üzerinde uygulama ve entegrasyon. Açıklanamayan sapma veya iki sonuçsuz düzeltmede Astra high incelemesi.</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MR-05  Üç robotta uçtan uca kabul</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Astra high ardından Sol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Astra protokolü veya kritik mantığı inceler; Sol uygulama ve ölçüm hattını tamamlar. Kabul, gerçek test kanıtına bağlıdır.</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MR-06  G-MR kapanışı ve Studio API devri</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Sol high ardından Astra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Sol uygulama ve kanıtları hazırlar; Astra kritik farkları ve kabul kararını sınırlı kapsamda inceler.</w:t>
            </w:r>
          </w:p>
        </w:tc>
      </w:tr>
    </w:tbl>
    <w:p>
      <w:pPr>
        <w:pStyle w:val="Heading2"/>
      </w:pPr>
      <w:r>
        <w:t>Yörünge üretimi görevleri</w:t>
      </w:r>
    </w:p>
    <w:p>
      <w:pPr>
        <w:keepNext/>
      </w:pPr>
      <w:r>
        <w:t>S3-02 sonrası joint konumu hız ve ivme sınırlarıyla zaman parametreli hareket üretilir.</w:t>
      </w:r>
    </w:p>
    <w:tbl>
      <w:tblPr>
        <w:tblStyle w:val="TableGrid"/>
        <w:tblW w:type="auto" w:w="0"/>
        <w:tblLayout w:type="fixed"/>
        <w:tblLook w:firstColumn="1" w:firstRow="1" w:lastColumn="0" w:lastRow="0" w:noHBand="0" w:noVBand="1" w:val="04A0"/>
      </w:tblPr>
      <w:tblGrid>
        <w:gridCol w:w="2665"/>
        <w:gridCol w:w="1984"/>
        <w:gridCol w:w="4535"/>
      </w:tblGrid>
      <w:tr>
        <w:trPr>
          <w:cantSplit/>
          <w:tblHeader/>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after="80" w:before="80"/>
            </w:pPr>
            <w:r>
              <w:rPr>
                <w:color w:val="FFFFFF"/>
                <w:sz w:val="18"/>
              </w:rPr>
              <w:t>Görev</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after="80" w:before="80"/>
            </w:pPr>
            <w:r>
              <w:rPr>
                <w:color w:val="FFFFFF"/>
                <w:sz w:val="18"/>
              </w:rPr>
              <w:t>Önerilen model</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after="80" w:before="80"/>
            </w:pPr>
            <w:r>
              <w:rPr>
                <w:color w:val="FFFFFF"/>
                <w:sz w:val="18"/>
              </w:rPr>
              <w:t>Kullanım nedeni</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TR-01  Trajectory sözleşmesi ve interpolasyon</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Sol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Ortak sözleşme üzerinde uygulama ve entegrasyon. Açıklanamayan sapma veya iki sonuçsuz düzeltmede Astra high incelemesi.</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TR-02  Limitler ve otomatik süre ölçekleme</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Astra high ardından Sol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Astra protokolü veya kritik mantığı inceler; Sol uygulama ve ölçüm hattını tamamlar. Kabul, gerçek test kanıtına bağlıdır.</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TR-03  Waypoint, FK ve playback/export</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Sol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Ortak sözleşme üzerinde uygulama ve entegrasyon. Açıklanamayan sapma veya iki sonuçsuz düzeltmede Astra high incelemesi.</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TR-04  Trajectory demo ve G-TR kabulü</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Sol high ardından Astra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Sol uygulama ve kanıtları hazırlar; Astra kritik farkları ve kabul kararını sınırlı kapsamda inceler.</w:t>
            </w:r>
          </w:p>
        </w:tc>
      </w:tr>
    </w:tbl>
    <w:p>
      <w:pPr>
        <w:pStyle w:val="Heading2"/>
      </w:pPr>
      <w:r>
        <w:t>Hareket planlama görevleri</w:t>
      </w:r>
    </w:p>
    <w:p>
      <w:pPr>
        <w:keepNext/>
      </w:pPr>
      <w:r>
        <w:t>G-TR sonrası statik sahnede doğrulanmış geometrik yol bulunur.</w:t>
      </w:r>
    </w:p>
    <w:tbl>
      <w:tblPr>
        <w:tblStyle w:val="TableGrid"/>
        <w:tblW w:type="auto" w:w="0"/>
        <w:tblLayout w:type="fixed"/>
        <w:tblLook w:firstColumn="1" w:firstRow="1" w:lastColumn="0" w:lastRow="0" w:noHBand="0" w:noVBand="1" w:val="04A0"/>
      </w:tblPr>
      <w:tblGrid>
        <w:gridCol w:w="2665"/>
        <w:gridCol w:w="1984"/>
        <w:gridCol w:w="4535"/>
      </w:tblGrid>
      <w:tr>
        <w:trPr>
          <w:cantSplit/>
          <w:tblHeader/>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after="80" w:before="80"/>
            </w:pPr>
            <w:r>
              <w:rPr>
                <w:color w:val="FFFFFF"/>
                <w:sz w:val="18"/>
              </w:rPr>
              <w:t>Görev</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after="80" w:before="80"/>
            </w:pPr>
            <w:r>
              <w:rPr>
                <w:color w:val="FFFFFF"/>
                <w:sz w:val="18"/>
              </w:rPr>
              <w:t>Önerilen model</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after="80" w:before="80"/>
            </w:pPr>
            <w:r>
              <w:rPr>
                <w:color w:val="FFFFFF"/>
                <w:sz w:val="18"/>
              </w:rPr>
              <w:t>Kullanım nedeni</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MP-01  Planning scene ve state/edge denetimi</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Sol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Ortak sözleşme üzerinde uygulama ve entegrasyon. Açıklanamayan sapma veya iki sonuçsuz düzeltmede Astra high incelemesi.</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MP-02  Direct edge ve RRT-Connect</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Astra high ardından Sol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Astra protokolü veya kritik mantığı inceler; Sol uygulama ve ölçüm hattını tamamlar. Kabul, gerçek test kanıtına bağlıdır.</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MP-03  Path sadeleştirme ve trajectory entegrasyonu</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Sol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Ortak sözleşme üzerinde uygulama ve entegrasyon. Açıklanamayan sapma veya iki sonuçsuz düzeltmede Astra high incelemesi.</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MP-04  Planning benchmark ve KUKA demoları</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Sol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Ortak sözleşme üzerinde uygulama ve entegrasyon. Açıklanamayan sapma veya iki sonuçsuz düzeltmede Astra high incelemesi.</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MP-05  G-MP kabulü ve Studio devri</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Sol high ardından Astra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Sol uygulama ve kanıtları hazırlar; Astra kritik farkları ve kabul kararını sınırlı kapsamda inceler.</w:t>
            </w:r>
          </w:p>
        </w:tc>
      </w:tr>
    </w:tbl>
    <w:p>
      <w:pPr>
        <w:pStyle w:val="Heading2"/>
      </w:pPr>
      <w:r>
        <w:t>Fiziksel yürütme görevleri</w:t>
      </w:r>
    </w:p>
    <w:p>
      <w:pPr>
        <w:keepNext/>
      </w:pPr>
      <w:r>
        <w:t>Sıra PE-07A → PE-01 → PE-02 → PE-03 → PE-05A → PE-06 → PE-07B → PE-04 → PE-05B → STUDIO-EXT → PE-08. STUDIO-EXT ayrıca G3e bağlıdır. Donanım ve şartname eksikleri hazır veya PASS sayılmaz.</w:t>
      </w:r>
    </w:p>
    <w:tbl>
      <w:tblPr>
        <w:tblStyle w:val="TableGrid"/>
        <w:tblW w:type="auto" w:w="0"/>
        <w:tblLayout w:type="fixed"/>
        <w:tblLook w:firstColumn="1" w:firstRow="1" w:lastColumn="0" w:lastRow="0" w:noHBand="0" w:noVBand="1" w:val="04A0"/>
      </w:tblPr>
      <w:tblGrid>
        <w:gridCol w:w="2665"/>
        <w:gridCol w:w="1984"/>
        <w:gridCol w:w="4535"/>
      </w:tblGrid>
      <w:tr>
        <w:trPr>
          <w:cantSplit/>
          <w:tblHeader/>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after="80" w:before="80"/>
            </w:pPr>
            <w:r>
              <w:rPr>
                <w:color w:val="FFFFFF"/>
                <w:sz w:val="18"/>
              </w:rPr>
              <w:t>Görev</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after="80" w:before="80"/>
            </w:pPr>
            <w:r>
              <w:rPr>
                <w:color w:val="FFFFFF"/>
                <w:sz w:val="18"/>
              </w:rPr>
              <w:t>Önerilen model</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after="80" w:before="80"/>
            </w:pPr>
            <w:r>
              <w:rPr>
                <w:color w:val="FFFFFF"/>
                <w:sz w:val="18"/>
              </w:rPr>
              <w:t>Kullanım nedeni</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PE-07A  Fiziksel kapsam ve güvenlik gereksinimleri</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Astra high ardından Sol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Astra protokolü veya kritik mantığı inceler; Sol uygulama ve ölçüm hattını tamamlar. Kabul, gerçek test kanıtına bağlıdır.</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PE-01  Digital twin yürütme ön doğrulaması</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Sol high ardından Astra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Sol uygulama ve kanıtları hazırlar; Astra kritik farkları ve kabul kararını sınırlı kapsamda inceler.</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PE-02  ROS 2 ve donanım soyutlama</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Sol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Ortak sözleşme üzerinde uygulama ve entegrasyon. Açıklanamayan sapma veya iki sonuçsuz düzeltmede Astra high incelemesi.</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PE-03  Embedded controller ve commissioning arayüzü</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Sol high ardından Astra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Sol uygulama ve kanıtları hazırlar; Astra kritik farkları ve kabul kararını sınırlı kapsamda inceler.</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PE-05A  Temel kalibrasyon ve robot kimliği</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Astra high ardından Sol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Astra protokolü veya kritik mantığı inceler; Sol uygulama ve ölçüm hattını tamamlar. Kabul, gerçek test kanıtına bağlıdır.</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PE-06  Hardware-in-the-loop ve hata yönetimi</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Astra high ardından Sol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Astra protokolü veya kritik mantığı inceler; Sol uygulama ve ölçüm hattını tamamlar. Kabul, gerçek test kanıtına bağlıdır.</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PE-07B  Yürütme kilitleri ve fiziksel kabul</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Astra high ardından Sol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Astra protokolü veya kritik mantığı inceler; Sol uygulama ve ölçüm hattını tamamlar. Kabul, gerçek test kanıtına bağlıdır.</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PE-04  Kapalı çevrim fiziksel trajectory yürütme</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Astra high ardından Sol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Astra protokolü veya kritik mantığı inceler; Sol uygulama ve ölçüm hattını tamamlar. Kabul, gerçek test kanıtına bağlıdır.</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PE-05B  Sim-to-real doğruluk ve tekrarlanabilirlik</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Astra high ardından Sol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Astra protokolü veya kritik mantığı inceler; Sol uygulama ve ölçüm hattını tamamlar. Kabul, gerçek test kanıtına bağlıdır.</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STUDIO-EXT  Fiziksel robot operasyon ekranları</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Sol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Ortak sözleşme üzerinde uygulama ve entegrasyon. Açıklanamayan sapma veya iki sonuçsuz düzeltmede Astra high incelemesi.</w:t>
            </w:r>
          </w:p>
        </w:tc>
      </w:tr>
      <w:tr>
        <w:trPr>
          <w:cantSplit/>
        </w:trPr>
        <w:tc>
          <w:tcPr>
            <w:tcW w:type="dxa" w:w="266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PE-08  Dağıtım ve güvenilirlik ürünleştirme</w:t>
            </w:r>
          </w:p>
        </w:tc>
        <w:tc>
          <w:tcPr>
            <w:tcW w:type="dxa" w:w="1984"/>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Sol high ardından Astra high</w:t>
            </w:r>
          </w:p>
        </w:tc>
        <w:tc>
          <w:tcPr>
            <w:tcW w:type="dxa" w:w="4535"/>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Sol uygulama ve kanıtları hazırlar; Astra kritik farkları ve kabul kararını sınırlı kapsamda inceler.</w:t>
            </w:r>
          </w:p>
        </w:tc>
      </w:tr>
    </w:tbl>
    <w:p>
      <w:pPr>
        <w:pStyle w:val="Heading2"/>
      </w:pPr>
      <w:r>
        <w:t>Neural eğitim ve kabul kararları</w:t>
      </w:r>
    </w:p>
    <w:p>
      <w:r>
        <w:t>H2-N1 veri ve mimari protokolünü, H2-N2 gerçekten yeni neural eğitimi kapsar. C1-07 eski ağları araştırma kontrolü olarak kalır. C1-06S yalnız doğrulanmış KUKA geometrisinde çözüm adayı ve teacher sağlayabilir. H1 aynı sayısal motor ve toplam bütçeyle neural katkıyı ölçer; geometrik motor B-H05te ayrı kıyaslanır. G2 servis kabulü ile G-N öğrenilmiş katkı ayrı kararlardır. Yeni eğitim veya düşük training loss tek başına G-N başarısı değildir.</w:t>
      </w:r>
    </w:p>
    <w:p>
      <w:pPr>
        <w:pStyle w:val="Heading2"/>
      </w:pPr>
      <w:r>
        <w:t>Revizyon kaydı</w:t>
      </w:r>
    </w:p>
    <w:p>
      <w:r>
        <w:t>Belge r2, roadmap r3 ve ADR-027 ile uyumludur. H2ye H2-N1 ve H2-N2; plana MR, TR, MP, PE ve STUDIO-EXT görevleri eklendi. r1 kaynak dosyası korundu. Başlangıç sırası Foundations yerine mevcut H2-01 konumuna taşındı. Güncel dayanaklar docs/roadmaps/MASTER_ROADMAP.md, H2_REVISION_SPEC.md ve ROADMAP_TASKS_r3.json dosyalarıdır.</w:t>
      </w:r>
    </w:p>
    <w:p>
      <w:pPr>
        <w:pStyle w:val="Heading1"/>
      </w:pPr>
      <w:r>
        <w:rPr>
          <w:color w:val="000000"/>
        </w:rPr>
        <w:t>Oturum ve Model Değiştirme Kuralları</w:t>
      </w:r>
    </w:p>
    <w:p>
      <w:r>
        <w:t>Model seçimi görevin teknik riskine göre yapılır. Her oturum tek bir roadmap görevine veya açıkça tanımlanmış bir alt işe bağlanır.</w:t>
      </w:r>
    </w:p>
    <w:p>
      <w:pPr>
        <w:pStyle w:val="Heading2"/>
      </w:pPr>
      <w:r>
        <w:rPr>
          <w:color w:val="000000"/>
        </w:rPr>
        <w:t>Astra kullanımını tetikleyen koşullar</w:t>
      </w:r>
    </w:p>
    <w:p>
      <w:pPr>
        <w:pStyle w:val="ListBullet"/>
        <w:spacing w:after="80"/>
      </w:pPr>
      <w:r>
        <w:t>FK, Jacobian, autograd, optimizasyon veya zaman bütçesi gibi temel matematikte belirsizlik bulunması.</w:t>
      </w:r>
    </w:p>
    <w:p>
      <w:pPr>
        <w:pStyle w:val="ListBullet"/>
        <w:spacing w:after="80"/>
      </w:pPr>
      <w:r>
        <w:t>Aynı hata için Sol ile iki düzeltme yapıldığı halde yeni kanıt veya ilerleme oluşmaması.</w:t>
      </w:r>
    </w:p>
    <w:p>
      <w:pPr>
        <w:pStyle w:val="ListBullet"/>
        <w:spacing w:after="80"/>
      </w:pPr>
      <w:r>
        <w:t>Testlerin geçtiği halde iki bağımsız uygulamanın farklı sonuç vermesi.</w:t>
      </w:r>
    </w:p>
    <w:p>
      <w:pPr>
        <w:pStyle w:val="ListBullet"/>
        <w:spacing w:after="80"/>
      </w:pPr>
      <w:r>
        <w:t>Deney tasarımında veri sızıntısı, karşılaştırma adaleti veya istatistiksel yorum riski bulunması.</w:t>
      </w:r>
    </w:p>
    <w:p>
      <w:pPr>
        <w:pStyle w:val="ListBullet"/>
        <w:spacing w:after="80"/>
      </w:pPr>
      <w:r>
        <w:t>G2, G-N, G-MR, G-TR, G-MP, G3 veya G-PE kabulü yapılacak olması ya da yayımlanabilir teknik iddia kurulması.</w:t>
      </w:r>
    </w:p>
    <w:p>
      <w:pPr>
        <w:pStyle w:val="Heading2"/>
      </w:pPr>
      <w:r>
        <w:rPr>
          <w:color w:val="000000"/>
        </w:rPr>
        <w:t>Token ve kota tasarrufu düzeni</w:t>
      </w:r>
    </w:p>
    <w:p>
      <w:pPr>
        <w:pStyle w:val="ListBullet"/>
        <w:spacing w:after="80"/>
      </w:pPr>
      <w:r>
        <w:rPr>
          <w:b/>
        </w:rPr>
        <w:t>Tek görev ilkesi:</w:t>
      </w:r>
      <w:r>
        <w:t xml:space="preserve"> Bir oturumda tek roadmap görevi veya tek hata sınıfı ele alınır.</w:t>
      </w:r>
    </w:p>
    <w:p>
      <w:pPr>
        <w:pStyle w:val="ListBullet"/>
        <w:spacing w:after="80"/>
      </w:pPr>
      <w:r>
        <w:rPr>
          <w:b/>
        </w:rPr>
        <w:t>Seçili bağlam:</w:t>
      </w:r>
      <w:r>
        <w:t xml:space="preserve"> AGENTS.md, aktif görev dosyası, ilgili teknik bölüm ve son çalışma kaydı okunur; ihtiyaç halinde diğer belgelere geçilir.</w:t>
      </w:r>
    </w:p>
    <w:p>
      <w:pPr>
        <w:pStyle w:val="ListBullet"/>
        <w:spacing w:after="80"/>
      </w:pPr>
      <w:r>
        <w:rPr>
          <w:b/>
        </w:rPr>
        <w:t>Dosya tabanlı kanıt:</w:t>
      </w:r>
      <w:r>
        <w:t xml:space="preserve"> Tam loglar ve deney çıktıları dosyada tutulur; modele özet, ilgili satırlar ve dosya yolu verilir.</w:t>
      </w:r>
    </w:p>
    <w:p>
      <w:pPr>
        <w:pStyle w:val="ListBullet"/>
        <w:spacing w:after="80"/>
      </w:pPr>
      <w:r>
        <w:rPr>
          <w:b/>
        </w:rPr>
        <w:t>Kontrollü geçiş:</w:t>
      </w:r>
      <w:r>
        <w:t xml:space="preserve"> Model değişimi tamamlanmış alt iş veya açık hata devri üzerinden yapılır.</w:t>
      </w:r>
    </w:p>
    <w:p>
      <w:pPr>
        <w:pStyle w:val="ListBullet"/>
        <w:spacing w:after="80"/>
      </w:pPr>
      <w:r>
        <w:rPr>
          <w:b/>
        </w:rPr>
        <w:t>Kısa devir kaydı:</w:t>
      </w:r>
      <w:r>
        <w:t xml:space="preserve"> Görev, commit, değişen dosyalar, testler, sonuçlar, açık sorun ve sonraki adım kaydedilir.</w:t>
      </w:r>
    </w:p>
    <w:p>
      <w:pPr>
        <w:pStyle w:val="ListBullet"/>
        <w:spacing w:after="80"/>
      </w:pPr>
      <w:r>
        <w:rPr>
          <w:b/>
        </w:rPr>
        <w:t>Gerçek kullanım kaydı:</w:t>
      </w:r>
      <w:r>
        <w:t xml:space="preserve"> Arayüz kullanım verisi sunuyorsa kaydedilir; görünmeyen token veya maliyet için tahmin üretilmez.</w:t>
      </w:r>
    </w:p>
    <w:p>
      <w:pPr>
        <w:pStyle w:val="Heading2"/>
        <w:keepNext/>
      </w:pPr>
      <w:r>
        <w:rPr>
          <w:color w:val="000000"/>
        </w:rPr>
        <w:t>Başlangıç sırası</w:t>
      </w:r>
    </w:p>
    <w:tbl>
      <w:tblPr>
        <w:tblStyle w:val="TableGrid"/>
        <w:tblW w:type="auto" w:w="0"/>
        <w:jc w:val="center"/>
        <w:tblLayout w:type="fixed"/>
        <w:tblLook w:firstColumn="1" w:firstRow="1" w:lastColumn="0" w:lastRow="0" w:noHBand="0" w:noVBand="1" w:val="04A0"/>
      </w:tblPr>
      <w:tblGrid>
        <w:gridCol w:w="680"/>
        <w:gridCol w:w="5102"/>
        <w:gridCol w:w="3402"/>
      </w:tblGrid>
      <w:tr>
        <w:trPr>
          <w:cantSplit/>
          <w:tblHeader/>
        </w:trPr>
        <w:tc>
          <w:tcPr>
            <w:tcW w:type="dxa" w:w="680"/>
            <w:tcMar>
              <w:top w:w="90" w:type="dxa"/>
              <w:start w:w="110" w:type="dxa"/>
              <w:bottom w:w="90" w:type="dxa"/>
              <w:end w:w="110" w:type="dxa"/>
            </w:tcMar>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line="240" w:lineRule="auto" w:after="80" w:before="80"/>
            </w:pPr>
            <w:r>
              <w:rPr>
                <w:rFonts w:ascii="Aptos" w:hAnsi="Aptos"/>
                <w:b/>
                <w:color w:val="FFFFFF"/>
                <w:sz w:val="18"/>
              </w:rPr>
              <w:t>Sıra</w:t>
            </w:r>
          </w:p>
        </w:tc>
        <w:tc>
          <w:tcPr>
            <w:tcW w:type="dxa" w:w="5102"/>
            <w:tcMar>
              <w:top w:w="90" w:type="dxa"/>
              <w:start w:w="110" w:type="dxa"/>
              <w:bottom w:w="90" w:type="dxa"/>
              <w:end w:w="110" w:type="dxa"/>
            </w:tcMar>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line="240" w:lineRule="auto" w:after="80" w:before="80"/>
            </w:pPr>
            <w:r>
              <w:rPr>
                <w:rFonts w:ascii="Aptos" w:hAnsi="Aptos"/>
                <w:b/>
                <w:color w:val="FFFFFF"/>
                <w:sz w:val="18"/>
              </w:rPr>
              <w:t>İş</w:t>
            </w:r>
          </w:p>
        </w:tc>
        <w:tc>
          <w:tcPr>
            <w:tcW w:type="dxa" w:w="3402"/>
            <w:tcMar>
              <w:top w:w="90" w:type="dxa"/>
              <w:start w:w="110" w:type="dxa"/>
              <w:bottom w:w="90" w:type="dxa"/>
              <w:end w:w="110" w:type="dxa"/>
            </w:tcMar>
            <w:tcBorders>
              <w:top w:val="single" w:sz="4" w:color="D9D9D9"/>
              <w:left w:val="single" w:sz="4" w:color="D9D9D9"/>
              <w:bottom w:val="single" w:sz="4" w:color="D9D9D9"/>
              <w:right w:val="single" w:sz="4" w:color="D9D9D9"/>
            </w:tcBorders>
            <w:tcMar>
              <w:top w:w="95" w:type="dxa"/>
              <w:bottom w:w="95" w:type="dxa"/>
              <w:left w:w="95" w:type="dxa"/>
              <w:right w:w="95" w:type="dxa"/>
            </w:tcMar>
            <w:shd w:fill="18273B"/>
            <w:tcMar>
              <w:top w:w="95" w:type="dxa"/>
              <w:bottom w:w="95" w:type="dxa"/>
              <w:left w:w="95" w:type="dxa"/>
              <w:right w:w="95" w:type="dxa"/>
            </w:tcMar>
          </w:tcPr>
          <w:p>
            <w:pPr>
              <w:keepNext/>
              <w:spacing w:line="240" w:lineRule="auto" w:after="80" w:before="80"/>
            </w:pPr>
            <w:r>
              <w:rPr>
                <w:rFonts w:ascii="Aptos" w:hAnsi="Aptos"/>
                <w:b/>
                <w:color w:val="FFFFFF"/>
                <w:sz w:val="18"/>
              </w:rPr>
              <w:t>Model</w:t>
            </w:r>
          </w:p>
        </w:tc>
      </w:tr>
      <w:tr>
        <w:trPr>
          <w:cantSplit/>
        </w:trPr>
        <w:tc>
          <w:tcPr>
            <w:tcW w:type="dxa" w:w="680"/>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1</w:t>
            </w:r>
          </w:p>
        </w:tc>
        <w:tc>
          <w:tcPr>
            <w:tcW w:type="dxa" w:w="5102"/>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H2-01  Kabul politikası ve bileşen kimliği</w:t>
            </w:r>
          </w:p>
        </w:tc>
        <w:tc>
          <w:tcPr>
            <w:tcW w:type="dxa" w:w="3402"/>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Sol high ardından Astra high</w:t>
            </w:r>
          </w:p>
        </w:tc>
      </w:tr>
      <w:tr>
        <w:trPr>
          <w:cantSplit/>
        </w:trPr>
        <w:tc>
          <w:tcPr>
            <w:tcW w:type="dxa" w:w="680"/>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2</w:t>
            </w:r>
          </w:p>
        </w:tc>
        <w:tc>
          <w:tcPr>
            <w:tcW w:type="dxa" w:w="5102"/>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H2-02  Ortak bütçeli çok motorlu IK servisi</w:t>
            </w:r>
          </w:p>
        </w:tc>
        <w:tc>
          <w:tcPr>
            <w:tcW w:type="dxa" w:w="3402"/>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Astra high ardından Sol high</w:t>
            </w:r>
          </w:p>
        </w:tc>
      </w:tr>
      <w:tr>
        <w:trPr>
          <w:cantSplit/>
        </w:trPr>
        <w:tc>
          <w:tcPr>
            <w:tcW w:type="dxa" w:w="680"/>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3</w:t>
            </w:r>
          </w:p>
        </w:tc>
        <w:tc>
          <w:tcPr>
            <w:tcW w:type="dxa" w:w="5102"/>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H2-N1  Yeni neural deney ve veri sözleşmesi</w:t>
            </w:r>
          </w:p>
        </w:tc>
        <w:tc>
          <w:tcPr>
            <w:tcW w:type="dxa" w:w="3402"/>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Astra high ardından Sol high</w:t>
            </w:r>
          </w:p>
        </w:tc>
      </w:tr>
      <w:tr>
        <w:trPr>
          <w:cantSplit/>
        </w:trPr>
        <w:tc>
          <w:tcPr>
            <w:tcW w:type="dxa" w:w="680"/>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4</w:t>
            </w:r>
          </w:p>
        </w:tc>
        <w:tc>
          <w:tcPr>
            <w:tcW w:type="dxa" w:w="5102"/>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H2-N2  Yeni neural adayın eğitimi ve seçim kapısı</w:t>
            </w:r>
          </w:p>
        </w:tc>
        <w:tc>
          <w:tcPr>
            <w:tcW w:type="dxa" w:w="3402"/>
            <w:tcBorders>
              <w:top w:val="single" w:sz="4" w:color="D9D9D9"/>
              <w:left w:val="single" w:sz="4" w:color="D9D9D9"/>
              <w:bottom w:val="single" w:sz="4" w:color="D9D9D9"/>
              <w:right w:val="single" w:sz="4" w:color="D9D9D9"/>
            </w:tcBorders>
            <w:tcMar>
              <w:top w:w="95" w:type="dxa"/>
              <w:bottom w:w="95" w:type="dxa"/>
              <w:left w:w="95" w:type="dxa"/>
              <w:right w:w="95" w:type="dxa"/>
            </w:tcMar>
            <w:shd w:fill="F4F6F8"/>
            <w:tcMar>
              <w:top w:w="95" w:type="dxa"/>
              <w:bottom w:w="95" w:type="dxa"/>
              <w:left w:w="95" w:type="dxa"/>
              <w:right w:w="95" w:type="dxa"/>
            </w:tcMar>
          </w:tcPr>
          <w:p>
            <w:pPr>
              <w:keepNext w:val="0"/>
              <w:spacing w:after="80" w:before="80"/>
            </w:pPr>
            <w:r>
              <w:rPr>
                <w:color w:val="000000"/>
                <w:sz w:val="18"/>
              </w:rPr>
              <w:t>Astra high ardından Sol high</w:t>
            </w:r>
          </w:p>
        </w:tc>
      </w:tr>
      <w:tr>
        <w:trPr>
          <w:cantSplit/>
        </w:trPr>
        <w:tc>
          <w:tcPr>
            <w:tcW w:type="dxa" w:w="680"/>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5</w:t>
            </w:r>
          </w:p>
        </w:tc>
        <w:tc>
          <w:tcPr>
            <w:tcW w:type="dxa" w:w="5102"/>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H2-03  H1 ve geometrik ürün karşılaştırması</w:t>
            </w:r>
          </w:p>
        </w:tc>
        <w:tc>
          <w:tcPr>
            <w:tcW w:type="dxa" w:w="3402"/>
            <w:tcBorders>
              <w:top w:val="single" w:sz="4" w:color="D9D9D9"/>
              <w:left w:val="single" w:sz="4" w:color="D9D9D9"/>
              <w:bottom w:val="single" w:sz="4" w:color="D9D9D9"/>
              <w:right w:val="single" w:sz="4" w:color="D9D9D9"/>
            </w:tcBorders>
            <w:tcMar>
              <w:top w:w="95" w:type="dxa"/>
              <w:bottom w:w="95" w:type="dxa"/>
              <w:left w:w="95" w:type="dxa"/>
              <w:right w:w="95" w:type="dxa"/>
            </w:tcMar>
            <w:shd w:fill="FFFFFF"/>
            <w:tcMar>
              <w:top w:w="95" w:type="dxa"/>
              <w:bottom w:w="95" w:type="dxa"/>
              <w:left w:w="95" w:type="dxa"/>
              <w:right w:w="95" w:type="dxa"/>
            </w:tcMar>
          </w:tcPr>
          <w:p>
            <w:pPr>
              <w:keepNext w:val="0"/>
              <w:spacing w:after="80" w:before="80"/>
            </w:pPr>
            <w:r>
              <w:rPr>
                <w:color w:val="000000"/>
                <w:sz w:val="18"/>
              </w:rPr>
              <w:t>Astra high ardından Sol high</w:t>
            </w:r>
          </w:p>
        </w:tc>
      </w:tr>
    </w:tbl>
    <w:p>
      <w:pPr>
        <w:pStyle w:val="Heading2"/>
      </w:pPr>
      <w:r>
        <w:rPr>
          <w:color w:val="000000"/>
        </w:rPr>
        <w:t>Kaynak ve sürüm notu</w:t>
      </w:r>
    </w:p>
    <w:p>
      <w:r>
        <w:t>11 Ekim 2026 tarihli kontrol: resmi OpenAI model seçimi rehberi https://developers.openai.com/api/docs/guides/model-selection ve NeuroKinematics roadmap r3. Göreve özel dağılım proje önerisidir; modellerin bu projedeki göreli başarısı karşılaştırmalı ölçülmedi. Bu revizyonda Sol adı GPT 6.1 Sol olarak güncellendi. Fiyat, token tasarrufu veya hesap kotası için sayısal iddia yapılmıyor. Hesapta erişilebilir model ve düşünme seçenekleri oturum başında kontrol edilir.</w:t>
      </w:r>
    </w:p>
    <w:p>
      <w:pPr>
        <w:pStyle w:val="Meta"/>
        <w:spacing w:before="240"/>
      </w:pPr>
      <w:r>
        <w:t>Belge revizyonu: r2  •  Proje: NeuroKinematics  •  Tarih: 11 Ekim 2026</w:t>
      </w:r>
    </w:p>
    <w:sectPr w:rsidR="00FC693F" w:rsidRPr="0006063C" w:rsidSect="00034616">
      <w:headerReference w:type="default" r:id="rId9"/>
      <w:footerReference w:type="default" r:id="rId10"/>
      <w:pgSz w:w="12240" w:h="15840"/>
      <w:pgMar w:top="1020" w:right="1077" w:bottom="964"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473"/>
        <w:sz w:val="16"/>
      </w:rPr>
      <w:t xml:space="preserve">Sayfa </w:t>
    </w:r>
    <w:r>
      <w:rPr>
        <w:color w:val="59647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jc w:val="right"/>
      <w:pBdr>
        <w:bottom w:val="single" w:sz="4" w:space="1" w:color="D8E0EA"/>
      </w:pBdr>
    </w:pPr>
    <w:r>
      <w:rPr>
        <w:color w:val="000000"/>
      </w:rPr>
      <w:t>NEUROKİNEMATİCS  •  MODEL KULLANIM PLANI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80"/>
    </w:pPr>
    <w:rPr>
      <w:rFonts w:ascii="Aptos" w:hAnsi="Aptos"/>
      <w:color w:val="5964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openai.com/api/docs/models/gpt-5.6-sol" TargetMode="External"/><Relationship Id="rId12" Type="http://schemas.openxmlformats.org/officeDocument/2006/relationships/hyperlink" Target="https://developers.openai.com/api/docs/models/gpt-6-ast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NeuroKinematics Model Kullanım Planı</dc:title>
  <dc:subject>Roadmap görevleri için GPT 5.6 Sol ve GPT 6 Astra seçim rehberi</dc:subject>
  <dc:creator>Arda Tekgöz</dc:creator>
  <cp:keywords>NeuroKinematics, roadmap, GPT-5.6 Sol, GPT-6 Astra, Codex</cp:keywords>
  <dc:description>generated by python-docx</dc:description>
  <cp:lastModifiedBy/>
  <cp:revision>1</cp:revision>
  <dcterms:created xsi:type="dcterms:W3CDTF">2013-12-23T23:15:00Z</dcterms:created>
  <dcterms:modified xsi:type="dcterms:W3CDTF">2013-12-23T23:15:00Z</dcterms:modified>
  <cp:category/>
</cp:coreProperties>
</file>